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2022-3-2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  <w:bookmarkStart w:id="0" w:name="_GoBack"/>
      <w:bookmarkEnd w:id="0"/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075"/>
        <w:gridCol w:w="705"/>
        <w:gridCol w:w="690"/>
        <w:gridCol w:w="720"/>
        <w:gridCol w:w="735"/>
        <w:gridCol w:w="142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名称及规格型号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金额</w:t>
            </w:r>
          </w:p>
        </w:tc>
        <w:tc>
          <w:tcPr>
            <w:tcW w:w="14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7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插头SM-JN11-06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1600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15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MHMF022L1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动力端子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eastAsia="zh-CN"/>
              </w:rPr>
              <w:t>壹仟陆佰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元）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（注：此价格为含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eastAsia="zh-CN"/>
        </w:rPr>
        <w:t>效后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val="en-US" w:eastAsia="zh-CN"/>
        </w:rPr>
        <w:t>1周（2022年3月10日）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三、交货方式、地点：乙方负责送货上门，费用由乙方承担。地点：北京市北京城区大兴区泰河三街1号;郭澳然;18810818523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 CXA220730423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2022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3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7C04855"/>
    <w:rsid w:val="1E742240"/>
    <w:rsid w:val="1E7F33BB"/>
    <w:rsid w:val="1FA15483"/>
    <w:rsid w:val="20285644"/>
    <w:rsid w:val="21355AF7"/>
    <w:rsid w:val="277D0D3A"/>
    <w:rsid w:val="297D0711"/>
    <w:rsid w:val="2CF93B1A"/>
    <w:rsid w:val="2E657E87"/>
    <w:rsid w:val="3C87049E"/>
    <w:rsid w:val="3CE824A6"/>
    <w:rsid w:val="3DD3167A"/>
    <w:rsid w:val="3FE13C38"/>
    <w:rsid w:val="41775E32"/>
    <w:rsid w:val="48527A0C"/>
    <w:rsid w:val="49C91C9A"/>
    <w:rsid w:val="51D0000D"/>
    <w:rsid w:val="53F123BD"/>
    <w:rsid w:val="544C7B20"/>
    <w:rsid w:val="5A4440E2"/>
    <w:rsid w:val="60A44961"/>
    <w:rsid w:val="66AB1061"/>
    <w:rsid w:val="66ED1D63"/>
    <w:rsid w:val="68EC7772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2022-04-27T04:40:59Z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