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color w:val="auto"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物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资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采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购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合</w:t>
      </w:r>
      <w:r>
        <w:rPr>
          <w:rFonts w:ascii="黑体" w:eastAsia="黑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color w:val="auto"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color w:val="auto"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邮编：</w:t>
            </w:r>
            <w:r>
              <w:rPr>
                <w:b/>
                <w:bCs/>
                <w:color w:val="auto"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开户行：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账号：</w:t>
            </w:r>
            <w:r>
              <w:rPr>
                <w:b/>
                <w:bCs/>
                <w:color w:val="auto"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税号：</w:t>
            </w:r>
            <w:r>
              <w:rPr>
                <w:b/>
                <w:bCs/>
                <w:color w:val="auto"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法人代表或授权人：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经办人：李泉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color w:val="auto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color w:val="auto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color w:val="auto"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法人代表或授权人：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2022-6-17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清单）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</w:t>
      </w:r>
      <w:r>
        <w:rPr>
          <w:rFonts w:eastAsia="黑体"/>
          <w:b/>
          <w:bCs/>
          <w:color w:val="auto"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45"/>
        <w:gridCol w:w="1830"/>
        <w:gridCol w:w="705"/>
        <w:gridCol w:w="615"/>
        <w:gridCol w:w="720"/>
        <w:gridCol w:w="735"/>
        <w:gridCol w:w="123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伺服电机和驱动器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</w:rPr>
              <w:t>MHMF0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</w:rPr>
              <w:t>2L1U2M</w:t>
            </w: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+MBDLT25SF+5m线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3980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3980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Panasonic松下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配套IO插头，5m焊好的电机动力和编码器线缆。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9"/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合同总价（大写）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eastAsia="zh-CN"/>
              </w:rPr>
              <w:t>贰万贰仟伍佰捌拾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22580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元）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（注：此价格为含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eastAsia="zh-CN"/>
        </w:rPr>
        <w:t>合同生效后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val="en-US" w:eastAsia="zh-CN"/>
        </w:rPr>
        <w:t>1个月（2022年7月18日）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三、交货方式、地点：乙方负责送货上门，费用由乙方承担。地点：北京市北京城区大兴区泰河三街1号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，李泉，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 xml:space="preserve">17731690826 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 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color w:val="auto"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color w:val="auto"/>
          <w:sz w:val="18"/>
          <w:szCs w:val="18"/>
        </w:rPr>
        <w:t>%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auto"/>
          <w:sz w:val="18"/>
          <w:szCs w:val="18"/>
          <w:lang w:val="en-US" w:eastAsia="zh-CN"/>
        </w:rPr>
        <w:t>0天内付清全款，方式为一次性通过网银转账付清合同全额货款。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ascii="宋体" w:hAnsi="宋体" w:cs="宋体"/>
          <w:b/>
          <w:bCs/>
          <w:color w:val="auto"/>
          <w:sz w:val="18"/>
          <w:szCs w:val="18"/>
        </w:rPr>
        <w:t>1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</w:pPr>
      <w:r>
        <w:rPr>
          <w:rFonts w:ascii="宋体" w:hAnsi="宋体" w:cs="宋体"/>
          <w:b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、双方协商一致可解除合同，因一方不履行或履行合同不符合约定而致使合同解除的，守约方有获得赔偿的权利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trike w:val="0"/>
          <w:dstrike w:val="0"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auto"/>
          <w:sz w:val="18"/>
          <w:szCs w:val="18"/>
        </w:rPr>
        <w:t>按中华人民共和国民法典。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color w:val="auto"/>
          <w:sz w:val="18"/>
          <w:szCs w:val="18"/>
        </w:rPr>
        <w:t xml:space="preserve">  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eastAsia="黑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</w:t>
    </w:r>
    <w:bookmarkStart w:id="0" w:name="_GoBack"/>
    <w:r>
      <w:rPr>
        <w:rFonts w:hint="eastAsia" w:cs="宋体"/>
        <w:b/>
        <w:bCs/>
        <w:sz w:val="18"/>
        <w:szCs w:val="18"/>
        <w:lang w:val="en-US" w:eastAsia="zh-CN"/>
      </w:rPr>
      <w:t>C2Q220781568</w:t>
    </w:r>
    <w:bookmarkEnd w:id="0"/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color w:val="auto"/>
        <w:sz w:val="18"/>
        <w:szCs w:val="18"/>
      </w:rPr>
    </w:pPr>
    <w:r>
      <w:rPr>
        <w:rFonts w:hint="eastAsia" w:cs="宋体"/>
        <w:b/>
        <w:bCs/>
        <w:color w:val="auto"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color w:val="auto"/>
        <w:sz w:val="18"/>
        <w:szCs w:val="18"/>
      </w:rPr>
      <w:t>拟定日期：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2022</w:t>
    </w:r>
    <w:r>
      <w:rPr>
        <w:rFonts w:hint="eastAsia" w:cs="宋体"/>
        <w:b/>
        <w:bCs/>
        <w:color w:val="auto"/>
        <w:sz w:val="18"/>
        <w:szCs w:val="18"/>
      </w:rPr>
      <w:t>年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6</w:t>
    </w:r>
    <w:r>
      <w:rPr>
        <w:rFonts w:hint="eastAsia" w:cs="宋体"/>
        <w:b/>
        <w:bCs/>
        <w:color w:val="auto"/>
        <w:sz w:val="18"/>
        <w:szCs w:val="18"/>
      </w:rPr>
      <w:t>月</w:t>
    </w:r>
    <w:r>
      <w:rPr>
        <w:rFonts w:hint="eastAsia" w:cs="宋体"/>
        <w:b/>
        <w:bCs/>
        <w:color w:val="auto"/>
        <w:sz w:val="18"/>
        <w:szCs w:val="18"/>
        <w:lang w:val="en-US" w:eastAsia="zh-CN"/>
      </w:rPr>
      <w:t>17</w:t>
    </w:r>
    <w:r>
      <w:rPr>
        <w:rFonts w:hint="eastAsia" w:cs="宋体"/>
        <w:b/>
        <w:bCs/>
        <w:color w:val="auto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227BD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4F1854"/>
    <w:rsid w:val="167417E7"/>
    <w:rsid w:val="17C04855"/>
    <w:rsid w:val="1E742240"/>
    <w:rsid w:val="1E7F33BB"/>
    <w:rsid w:val="1FA15483"/>
    <w:rsid w:val="20285644"/>
    <w:rsid w:val="21355AF7"/>
    <w:rsid w:val="222633AA"/>
    <w:rsid w:val="277D0D3A"/>
    <w:rsid w:val="297D0711"/>
    <w:rsid w:val="2CF93B1A"/>
    <w:rsid w:val="2E657E87"/>
    <w:rsid w:val="3C87049E"/>
    <w:rsid w:val="3CE824A6"/>
    <w:rsid w:val="3DD3167A"/>
    <w:rsid w:val="3E854289"/>
    <w:rsid w:val="3FE13C38"/>
    <w:rsid w:val="41775E32"/>
    <w:rsid w:val="42BA5BE6"/>
    <w:rsid w:val="48527A0C"/>
    <w:rsid w:val="49C91C9A"/>
    <w:rsid w:val="50BA0BD3"/>
    <w:rsid w:val="51D0000D"/>
    <w:rsid w:val="53F123BD"/>
    <w:rsid w:val="544C7B20"/>
    <w:rsid w:val="59DF4526"/>
    <w:rsid w:val="5A4440E2"/>
    <w:rsid w:val="60A44961"/>
    <w:rsid w:val="66AB1061"/>
    <w:rsid w:val="66ED1D63"/>
    <w:rsid w:val="68AF2508"/>
    <w:rsid w:val="68EC7772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1218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2022-06-17T10:29:00Z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