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WM20211018-1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20211018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安徽凯风医疗科技有限公司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朱玉莲</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tbl>
            <w:tblPr>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br w:type="textWrapping"/>
                  </w:r>
                  <w:r>
                    <w:rPr>
                      <w:rFonts w:hint="default" w:ascii="Helvetica" w:hAnsi="Helvetica" w:eastAsia="Helvetica" w:cs="Helvetica"/>
                      <w:i w:val="0"/>
                      <w:iCs w:val="0"/>
                      <w:caps w:val="0"/>
                      <w:color w:val="333333"/>
                      <w:spacing w:val="0"/>
                      <w:kern w:val="0"/>
                      <w:sz w:val="21"/>
                      <w:szCs w:val="21"/>
                      <w:bdr w:val="none" w:color="auto" w:sz="0" w:space="0"/>
                      <w:lang w:val="en-US" w:eastAsia="zh-CN" w:bidi="ar"/>
                    </w:rPr>
                    <w:t>18956537747</w:t>
                  </w:r>
                </w:p>
              </w:tc>
            </w:tr>
          </w:tbl>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安徽省合肥市蜀山区经济技术开发区莲花路莲花电子商务园区D座401</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电池老化</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更换电池</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54F26A5"/>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3</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2021-10-18T08:38:23Z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