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2C6980">
        <w:rPr>
          <w:rFonts w:ascii="黑体" w:eastAsia="黑体" w:hint="eastAsia"/>
          <w:sz w:val="44"/>
          <w:szCs w:val="44"/>
        </w:rPr>
        <w:t>告</w:t>
      </w:r>
      <w:bookmarkStart w:id="0" w:name="_GoBack"/>
      <w:bookmarkEnd w:id="0"/>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04</w:t>
      </w:r>
      <w:r>
        <w:rPr>
          <w:rFonts w:ascii="宋体" w:eastAsia="宋体" w:hAnsi="宋体" w:cs="宋体" w:hint="eastAsia"/>
          <w:kern w:val="0"/>
          <w:sz w:val="24"/>
          <w:szCs w:val="24"/>
        </w:rPr>
        <w:t>月</w:t>
      </w:r>
      <w:r w:rsidR="005A6A53">
        <w:rPr>
          <w:rFonts w:ascii="宋体" w:eastAsia="宋体" w:hAnsi="宋体" w:cs="宋体" w:hint="eastAsia"/>
          <w:kern w:val="0"/>
          <w:sz w:val="24"/>
          <w:szCs w:val="24"/>
        </w:rPr>
        <w:t>24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A6A53"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R250417018G0000001010002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5A6A5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 </w:t>
            </w:r>
            <w:r w:rsidR="005A6A53">
              <w:rPr>
                <w:rFonts w:ascii="Helvetica" w:hAnsi="Helvetica" w:cs="Helvetica"/>
                <w:color w:val="333333"/>
                <w:sz w:val="23"/>
                <w:szCs w:val="23"/>
                <w:shd w:val="clear" w:color="auto" w:fill="F5F5F5"/>
              </w:rPr>
              <w:t>P19040388N</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5A6A53">
              <w:rPr>
                <w:rFonts w:ascii="Helvetica" w:hAnsi="Helvetica" w:cs="Helvetica" w:hint="eastAsia"/>
                <w:color w:val="333333"/>
                <w:sz w:val="23"/>
                <w:szCs w:val="23"/>
                <w:shd w:val="clear" w:color="auto" w:fill="F5F5F5"/>
              </w:rPr>
              <w:t>，</w:t>
            </w:r>
            <w:r w:rsidR="005A6A53">
              <w:rPr>
                <w:rFonts w:ascii="Helvetica" w:hAnsi="Helvetica" w:cs="Helvetica"/>
                <w:color w:val="333333"/>
                <w:sz w:val="23"/>
                <w:szCs w:val="23"/>
                <w:shd w:val="clear" w:color="auto" w:fill="F5F5F5"/>
              </w:rPr>
              <w:t>无故障描述</w:t>
            </w:r>
          </w:p>
        </w:tc>
        <w:tc>
          <w:tcPr>
            <w:tcW w:w="4162" w:type="dxa"/>
            <w:gridSpan w:val="3"/>
            <w:shd w:val="clear" w:color="auto" w:fill="auto"/>
            <w:vAlign w:val="center"/>
          </w:tcPr>
          <w:tbl>
            <w:tblPr>
              <w:tblW w:w="5677" w:type="dxa"/>
              <w:tblInd w:w="34" w:type="dxa"/>
              <w:tblLayout w:type="fixed"/>
              <w:tblLook w:val="04A0" w:firstRow="1" w:lastRow="0" w:firstColumn="1" w:lastColumn="0" w:noHBand="0" w:noVBand="1"/>
            </w:tblPr>
            <w:tblGrid>
              <w:gridCol w:w="17"/>
              <w:gridCol w:w="4775"/>
              <w:gridCol w:w="885"/>
            </w:tblGrid>
            <w:tr w:rsidR="007F2EA3" w:rsidTr="00DF5D7B">
              <w:trPr>
                <w:gridAfter w:val="1"/>
                <w:wAfter w:w="885" w:type="dxa"/>
                <w:trHeight w:val="420"/>
              </w:trPr>
              <w:tc>
                <w:tcPr>
                  <w:tcW w:w="4792" w:type="dxa"/>
                  <w:gridSpan w:val="2"/>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DF5D7B">
                        <w:pPr>
                          <w:framePr w:hSpace="180" w:wrap="around" w:vAnchor="text" w:hAnchor="margin" w:xAlign="center" w:y="180"/>
                          <w:widowControl/>
                          <w:suppressOverlap/>
                          <w:jc w:val="left"/>
                          <w:rPr>
                            <w:rFonts w:ascii="宋体" w:eastAsia="宋体" w:hAnsi="宋体" w:cs="宋体"/>
                            <w:kern w:val="0"/>
                            <w:sz w:val="24"/>
                            <w:szCs w:val="24"/>
                          </w:rPr>
                        </w:pPr>
                      </w:p>
                      <w:tbl>
                        <w:tblPr>
                          <w:tblW w:w="3620" w:type="dxa"/>
                          <w:tblLayout w:type="fixed"/>
                          <w:tblLook w:val="04A0" w:firstRow="1" w:lastRow="0" w:firstColumn="1" w:lastColumn="0" w:noHBand="0" w:noVBand="1"/>
                        </w:tblPr>
                        <w:tblGrid>
                          <w:gridCol w:w="2300"/>
                          <w:gridCol w:w="1320"/>
                        </w:tblGrid>
                        <w:tr w:rsidR="00DF5D7B" w:rsidTr="00DF5D7B">
                          <w:trPr>
                            <w:trHeight w:val="405"/>
                          </w:trPr>
                          <w:tc>
                            <w:tcPr>
                              <w:tcW w:w="2300" w:type="dxa"/>
                              <w:tcBorders>
                                <w:top w:val="nil"/>
                                <w:left w:val="nil"/>
                                <w:bottom w:val="nil"/>
                                <w:right w:val="nil"/>
                              </w:tcBorders>
                              <w:shd w:val="clear" w:color="auto" w:fill="auto"/>
                              <w:noWrap/>
                              <w:vAlign w:val="center"/>
                              <w:hideMark/>
                            </w:tcPr>
                            <w:p w:rsidR="00DF5D7B" w:rsidRPr="00EB179A" w:rsidRDefault="00DF5D7B" w:rsidP="00DF5D7B">
                              <w:pPr>
                                <w:framePr w:hSpace="180" w:wrap="around" w:vAnchor="text" w:hAnchor="margin" w:xAlign="center" w:y="180"/>
                                <w:widowControl/>
                                <w:suppressOverlap/>
                                <w:jc w:val="left"/>
                                <w:rPr>
                                  <w:rFonts w:ascii="Helvetica" w:hAnsi="Helvetica" w:cs="Helvetica"/>
                                  <w:color w:val="333333"/>
                                  <w:sz w:val="23"/>
                                  <w:szCs w:val="23"/>
                                  <w:shd w:val="clear" w:color="auto" w:fill="F5F5F5"/>
                                </w:rPr>
                              </w:pPr>
                              <w:r>
                                <w:rPr>
                                  <w:rFonts w:ascii="宋体" w:eastAsia="宋体" w:hAnsi="宋体" w:cs="宋体"/>
                                  <w:sz w:val="24"/>
                                  <w:szCs w:val="24"/>
                                </w:rPr>
                                <w:t>故障分析</w:t>
                              </w:r>
                              <w:r>
                                <w:rPr>
                                  <w:rFonts w:ascii="宋体" w:eastAsia="宋体" w:hAnsi="宋体" w:cs="宋体" w:hint="eastAsia"/>
                                  <w:sz w:val="24"/>
                                  <w:szCs w:val="24"/>
                                </w:rPr>
                                <w:t>：1，</w:t>
                              </w:r>
                              <w:r>
                                <w:rPr>
                                  <w:rFonts w:ascii="Helvetica" w:hAnsi="Helvetica" w:cs="Helvetica"/>
                                  <w:color w:val="333333"/>
                                  <w:sz w:val="23"/>
                                  <w:szCs w:val="23"/>
                                  <w:shd w:val="clear" w:color="auto" w:fill="F5F5F5"/>
                                </w:rPr>
                                <w:t xml:space="preserve"> </w:t>
                              </w:r>
                              <w:r>
                                <w:rPr>
                                  <w:rFonts w:ascii="Helvetica" w:hAnsi="Helvetica" w:cs="Helvetica"/>
                                  <w:color w:val="333333"/>
                                  <w:sz w:val="23"/>
                                  <w:szCs w:val="23"/>
                                  <w:shd w:val="clear" w:color="auto" w:fill="F5F5F5"/>
                                </w:rPr>
                                <w:t>经拆检</w:t>
                              </w:r>
                              <w:r>
                                <w:rPr>
                                  <w:rFonts w:ascii="Helvetica" w:hAnsi="Helvetica" w:cs="Helvetica"/>
                                  <w:color w:val="333333"/>
                                  <w:sz w:val="23"/>
                                  <w:szCs w:val="23"/>
                                  <w:shd w:val="clear" w:color="auto" w:fill="F5F5F5"/>
                                </w:rPr>
                                <w:t xml:space="preserve"> P19040388N </w:t>
                              </w:r>
                              <w:r>
                                <w:rPr>
                                  <w:rFonts w:ascii="宋体" w:eastAsia="宋体" w:hAnsi="宋体" w:cs="宋体" w:hint="eastAsia"/>
                                  <w:sz w:val="24"/>
                                  <w:szCs w:val="24"/>
                                </w:rPr>
                                <w:t>驱</w:t>
                              </w:r>
                              <w:r>
                                <w:rPr>
                                  <w:rFonts w:ascii="Helvetica" w:hAnsi="Helvetica" w:cs="Helvetica"/>
                                  <w:color w:val="333333"/>
                                  <w:sz w:val="23"/>
                                  <w:szCs w:val="23"/>
                                  <w:shd w:val="clear" w:color="auto" w:fill="F5F5F5"/>
                                </w:rPr>
                                <w:t xml:space="preserve"> </w:t>
                              </w:r>
                              <w:r>
                                <w:rPr>
                                  <w:rFonts w:ascii="宋体" w:eastAsia="宋体" w:hAnsi="宋体" w:cs="宋体" w:hint="eastAsia"/>
                                  <w:sz w:val="24"/>
                                  <w:szCs w:val="24"/>
                                </w:rPr>
                                <w:t>动器内部进入灰尘和异物，上电后，显示16.0报警,2，</w:t>
                              </w:r>
                              <w:r>
                                <w:rPr>
                                  <w:rFonts w:ascii="宋体" w:eastAsia="宋体" w:hAnsi="宋体" w:cs="宋体"/>
                                  <w:sz w:val="24"/>
                                  <w:szCs w:val="24"/>
                                </w:rPr>
                                <w:t>可能是设备频繁高速</w:t>
                              </w:r>
                              <w:proofErr w:type="gramStart"/>
                              <w:r>
                                <w:rPr>
                                  <w:rFonts w:ascii="宋体" w:eastAsia="宋体" w:hAnsi="宋体" w:cs="宋体"/>
                                  <w:sz w:val="24"/>
                                  <w:szCs w:val="24"/>
                                </w:rPr>
                                <w:t>起停或者</w:t>
                              </w:r>
                              <w:proofErr w:type="gramEnd"/>
                              <w:r>
                                <w:rPr>
                                  <w:rFonts w:ascii="宋体" w:eastAsia="宋体" w:hAnsi="宋体" w:cs="宋体"/>
                                  <w:sz w:val="24"/>
                                  <w:szCs w:val="24"/>
                                </w:rPr>
                                <w:t>减速时间过短</w:t>
                              </w:r>
                              <w:r>
                                <w:rPr>
                                  <w:rFonts w:ascii="宋体" w:eastAsia="宋体" w:hAnsi="宋体" w:cs="宋体" w:hint="eastAsia"/>
                                  <w:sz w:val="24"/>
                                  <w:szCs w:val="24"/>
                                </w:rPr>
                                <w:t>，</w:t>
                              </w:r>
                              <w:r>
                                <w:rPr>
                                  <w:rFonts w:ascii="宋体" w:eastAsia="宋体" w:hAnsi="宋体" w:cs="宋体"/>
                                  <w:sz w:val="24"/>
                                  <w:szCs w:val="24"/>
                                </w:rPr>
                                <w:t>造成再生电能过大</w:t>
                              </w:r>
                              <w:r>
                                <w:rPr>
                                  <w:rFonts w:ascii="宋体" w:eastAsia="宋体" w:hAnsi="宋体" w:cs="宋体" w:hint="eastAsia"/>
                                  <w:sz w:val="24"/>
                                  <w:szCs w:val="24"/>
                                </w:rPr>
                                <w:t>，</w:t>
                              </w:r>
                            </w:p>
                            <w:p w:rsidR="00DF5D7B" w:rsidRDefault="00DF5D7B" w:rsidP="00DF5D7B">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从而严重烧坏驱动器</w:t>
                              </w:r>
                              <w:r>
                                <w:rPr>
                                  <w:rFonts w:ascii="宋体" w:eastAsia="宋体" w:hAnsi="宋体" w:cs="宋体" w:hint="eastAsia"/>
                                  <w:sz w:val="24"/>
                                  <w:szCs w:val="24"/>
                                </w:rPr>
                                <w:t>。</w:t>
                              </w:r>
                            </w:p>
                            <w:p w:rsidR="00DF5D7B" w:rsidRDefault="00DF5D7B" w:rsidP="00DF5D7B">
                              <w:pPr>
                                <w:framePr w:hSpace="180" w:wrap="around" w:vAnchor="text" w:hAnchor="margin" w:xAlign="center" w:y="180"/>
                                <w:suppressOverlap/>
                                <w:rPr>
                                  <w:rFonts w:ascii="宋体" w:eastAsia="宋体" w:hAnsi="宋体" w:cs="宋体"/>
                                  <w:sz w:val="24"/>
                                  <w:szCs w:val="24"/>
                                </w:rPr>
                              </w:pPr>
                            </w:p>
                            <w:p w:rsidR="00DF5D7B" w:rsidRDefault="00DF5D7B" w:rsidP="00DF5D7B">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检查结果：1，客户曾经维修过,。2，报警16.0，电源板烧</w:t>
                              </w:r>
                              <w:r>
                                <w:rPr>
                                  <w:rFonts w:ascii="宋体" w:eastAsia="宋体" w:hAnsi="宋体" w:cs="宋体" w:hint="eastAsia"/>
                                  <w:sz w:val="24"/>
                                  <w:szCs w:val="24"/>
                                </w:rPr>
                                <w:lastRenderedPageBreak/>
                                <w:t>坏IGBT烧坏，检测电路整流回路元器件严重烧坏，检测电阻光</w:t>
                              </w:r>
                              <w:proofErr w:type="gramStart"/>
                              <w:r>
                                <w:rPr>
                                  <w:rFonts w:ascii="宋体" w:eastAsia="宋体" w:hAnsi="宋体" w:cs="宋体" w:hint="eastAsia"/>
                                  <w:sz w:val="24"/>
                                  <w:szCs w:val="24"/>
                                </w:rPr>
                                <w:t>耦</w:t>
                              </w:r>
                              <w:proofErr w:type="gramEnd"/>
                              <w:r>
                                <w:rPr>
                                  <w:rFonts w:ascii="宋体" w:eastAsia="宋体" w:hAnsi="宋体" w:cs="宋体" w:hint="eastAsia"/>
                                  <w:sz w:val="24"/>
                                  <w:szCs w:val="24"/>
                                </w:rPr>
                                <w:t>回路元器件等烧坏</w:t>
                              </w:r>
                            </w:p>
                            <w:p w:rsidR="00DF5D7B" w:rsidRDefault="00DF5D7B" w:rsidP="00DF5D7B">
                              <w:pPr>
                                <w:framePr w:hSpace="180" w:wrap="around" w:vAnchor="text" w:hAnchor="margin" w:xAlign="center" w:y="180"/>
                                <w:suppressOverlap/>
                                <w:rPr>
                                  <w:rFonts w:ascii="宋体" w:eastAsia="宋体" w:hAnsi="宋体" w:cs="宋体"/>
                                  <w:sz w:val="24"/>
                                  <w:szCs w:val="24"/>
                                </w:rPr>
                              </w:pPr>
                            </w:p>
                            <w:p w:rsidR="00DF5D7B" w:rsidRDefault="00DF5D7B" w:rsidP="00DF5D7B">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维修更换：1，清洗驱动器，2，更换IGBT，3，更换IC12,38,36,R59,PC36,QN569,587等</w:t>
                              </w:r>
                            </w:p>
                            <w:p w:rsidR="00DF5D7B" w:rsidRDefault="00DF5D7B" w:rsidP="00DF5D7B">
                              <w:pPr>
                                <w:framePr w:hSpace="180" w:wrap="around" w:vAnchor="text" w:hAnchor="margin" w:xAlign="center" w:y="180"/>
                                <w:suppressOverlap/>
                                <w:rPr>
                                  <w:rFonts w:ascii="宋体" w:eastAsia="宋体" w:hAnsi="宋体" w:cs="宋体"/>
                                  <w:sz w:val="24"/>
                                  <w:szCs w:val="24"/>
                                </w:rPr>
                              </w:pPr>
                            </w:p>
                            <w:p w:rsidR="00DF5D7B" w:rsidRPr="006A60E9" w:rsidRDefault="00DF5D7B" w:rsidP="00DF5D7B">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Pr>
                                  <w:rFonts w:ascii="宋体" w:eastAsia="宋体" w:hAnsi="宋体" w:cs="宋体"/>
                                  <w:sz w:val="24"/>
                                  <w:szCs w:val="24"/>
                                </w:rPr>
                                <w:t>改善设备使用环境</w:t>
                              </w:r>
                              <w:r>
                                <w:rPr>
                                  <w:rFonts w:ascii="宋体" w:eastAsia="宋体" w:hAnsi="宋体" w:cs="宋体" w:hint="eastAsia"/>
                                  <w:sz w:val="24"/>
                                  <w:szCs w:val="24"/>
                                </w:rPr>
                                <w:t>，</w:t>
                              </w:r>
                              <w:r>
                                <w:rPr>
                                  <w:rFonts w:ascii="宋体" w:eastAsia="宋体" w:hAnsi="宋体" w:cs="宋体"/>
                                  <w:sz w:val="24"/>
                                  <w:szCs w:val="24"/>
                                </w:rPr>
                                <w:t>延长加减速时间</w:t>
                              </w:r>
                              <w:r>
                                <w:rPr>
                                  <w:rFonts w:ascii="宋体" w:eastAsia="宋体" w:hAnsi="宋体" w:cs="宋体" w:hint="eastAsia"/>
                                  <w:sz w:val="24"/>
                                  <w:szCs w:val="24"/>
                                </w:rPr>
                                <w:t>，</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20" w:type="dxa"/>
                              <w:tcBorders>
                                <w:top w:val="nil"/>
                                <w:left w:val="nil"/>
                                <w:bottom w:val="nil"/>
                                <w:right w:val="nil"/>
                              </w:tcBorders>
                              <w:shd w:val="clear" w:color="auto" w:fill="auto"/>
                              <w:noWrap/>
                              <w:vAlign w:val="center"/>
                              <w:hideMark/>
                            </w:tcPr>
                            <w:p w:rsidR="00DF5D7B" w:rsidRDefault="00DF5D7B" w:rsidP="00DF5D7B">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DF5D7B">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DF5D7B">
                  <w:pPr>
                    <w:framePr w:hSpace="180" w:wrap="around" w:vAnchor="text" w:hAnchor="margin" w:xAlign="center" w:y="180"/>
                    <w:suppressOverlap/>
                    <w:rPr>
                      <w:rFonts w:ascii="Helvetica" w:hAnsi="Helvetica" w:cs="Helvetica"/>
                      <w:color w:val="333333"/>
                      <w:sz w:val="23"/>
                      <w:szCs w:val="23"/>
                      <w:shd w:val="clear" w:color="auto" w:fill="F5F5F5"/>
                    </w:rPr>
                  </w:pPr>
                </w:p>
              </w:tc>
            </w:tr>
            <w:tr w:rsidR="00615A6F" w:rsidRPr="00615A6F" w:rsidTr="00DF5D7B">
              <w:trPr>
                <w:gridBefore w:val="1"/>
                <w:wBefore w:w="17" w:type="dxa"/>
                <w:trHeight w:val="480"/>
              </w:trPr>
              <w:tc>
                <w:tcPr>
                  <w:tcW w:w="5660" w:type="dxa"/>
                  <w:gridSpan w:val="2"/>
                  <w:tcBorders>
                    <w:top w:val="nil"/>
                    <w:left w:val="nil"/>
                    <w:bottom w:val="nil"/>
                    <w:right w:val="nil"/>
                  </w:tcBorders>
                  <w:shd w:val="clear" w:color="auto" w:fill="auto"/>
                  <w:noWrap/>
                  <w:vAlign w:val="center"/>
                  <w:hideMark/>
                </w:tcPr>
                <w:p w:rsidR="00615A6F" w:rsidRPr="00615A6F" w:rsidRDefault="00615A6F" w:rsidP="00DF5D7B">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380元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62007">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1A0326">
              <w:rPr>
                <w:rFonts w:ascii="宋体" w:eastAsia="宋体" w:hAnsi="宋体" w:cs="宋体" w:hint="eastAsia"/>
                <w:kern w:val="0"/>
                <w:sz w:val="20"/>
                <w:szCs w:val="20"/>
              </w:rPr>
              <w:t>417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62007">
            <w:pPr>
              <w:jc w:val="left"/>
              <w:rPr>
                <w:rFonts w:ascii="宋体" w:eastAsia="宋体" w:hAnsi="宋体" w:cs="宋体"/>
                <w:kern w:val="0"/>
                <w:sz w:val="20"/>
                <w:szCs w:val="20"/>
              </w:rPr>
            </w:pPr>
            <w:r>
              <w:rPr>
                <w:rFonts w:ascii="宋体" w:eastAsia="宋体" w:hAnsi="宋体" w:cs="宋体" w:hint="eastAsia"/>
                <w:kern w:val="0"/>
                <w:sz w:val="20"/>
                <w:szCs w:val="20"/>
              </w:rPr>
              <w:t>2504</w:t>
            </w:r>
            <w:r w:rsidR="001A0326">
              <w:rPr>
                <w:rFonts w:ascii="宋体" w:eastAsia="宋体" w:hAnsi="宋体" w:cs="宋体" w:hint="eastAsia"/>
                <w:kern w:val="0"/>
                <w:sz w:val="20"/>
                <w:szCs w:val="20"/>
              </w:rPr>
              <w:t>23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1A0326"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380元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FAF" w:rsidRDefault="00AC4FAF" w:rsidP="00D61158">
      <w:r>
        <w:separator/>
      </w:r>
    </w:p>
  </w:endnote>
  <w:endnote w:type="continuationSeparator" w:id="0">
    <w:p w:rsidR="00AC4FAF" w:rsidRDefault="00AC4FAF"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FAF" w:rsidRDefault="00AC4FAF" w:rsidP="00D61158">
      <w:r>
        <w:separator/>
      </w:r>
    </w:p>
  </w:footnote>
  <w:footnote w:type="continuationSeparator" w:id="0">
    <w:p w:rsidR="00AC4FAF" w:rsidRDefault="00AC4FAF"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37B5"/>
    <w:rsid w:val="00244684"/>
    <w:rsid w:val="00292F89"/>
    <w:rsid w:val="002977B9"/>
    <w:rsid w:val="002C6980"/>
    <w:rsid w:val="002E085D"/>
    <w:rsid w:val="002F79F5"/>
    <w:rsid w:val="00301DBA"/>
    <w:rsid w:val="00305C7B"/>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43E2C"/>
    <w:rsid w:val="005551FD"/>
    <w:rsid w:val="00562B4B"/>
    <w:rsid w:val="005664D3"/>
    <w:rsid w:val="00572401"/>
    <w:rsid w:val="005807FC"/>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42855"/>
    <w:rsid w:val="00A869AA"/>
    <w:rsid w:val="00A912AF"/>
    <w:rsid w:val="00AA029F"/>
    <w:rsid w:val="00AC4FAF"/>
    <w:rsid w:val="00AD6F04"/>
    <w:rsid w:val="00AF5273"/>
    <w:rsid w:val="00B01872"/>
    <w:rsid w:val="00B11980"/>
    <w:rsid w:val="00B377CA"/>
    <w:rsid w:val="00B50319"/>
    <w:rsid w:val="00B603BB"/>
    <w:rsid w:val="00B6744A"/>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0730"/>
    <w:rsid w:val="00CC46C4"/>
    <w:rsid w:val="00CE090D"/>
    <w:rsid w:val="00CE17B2"/>
    <w:rsid w:val="00CF680B"/>
    <w:rsid w:val="00D01228"/>
    <w:rsid w:val="00D12CA9"/>
    <w:rsid w:val="00D2240C"/>
    <w:rsid w:val="00D26C7C"/>
    <w:rsid w:val="00D61158"/>
    <w:rsid w:val="00D75157"/>
    <w:rsid w:val="00D75171"/>
    <w:rsid w:val="00D95AD3"/>
    <w:rsid w:val="00DA589A"/>
    <w:rsid w:val="00DC6D8B"/>
    <w:rsid w:val="00DD3E49"/>
    <w:rsid w:val="00DF2C9C"/>
    <w:rsid w:val="00DF5D7B"/>
    <w:rsid w:val="00E0656B"/>
    <w:rsid w:val="00E2272E"/>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796</Characters>
  <Application>Microsoft Office Word</Application>
  <DocSecurity>0</DocSecurity>
  <Lines>6</Lines>
  <Paragraphs>1</Paragraphs>
  <ScaleCrop>false</ScaleCrop>
  <Company>Microsoft</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2025-04-24T07:33:00Z</dcterms:created>
  <dcterms:modified xsi:type="dcterms:W3CDTF">2025-04-24T07:33:00Z</dcterms:modified>
</cp:coreProperties>
</file>