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WM20210813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2021.08.13</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center"/>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江西汇仁医药贸易有限公司上饶分公司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金晶</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18270301782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江西省上饶市广信区凤凰西大道汇仁医药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金晶</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18270301782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更换电池仓，探头线</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更换电池仓120，探头线120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20210813</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8264D45"/>
    <w:rsid w:val="19F441A8"/>
    <w:rsid w:val="1E933912"/>
    <w:rsid w:val="1F243045"/>
    <w:rsid w:val="1F3538AD"/>
    <w:rsid w:val="20921D74"/>
    <w:rsid w:val="215C5731"/>
    <w:rsid w:val="227146D2"/>
    <w:rsid w:val="23B51B03"/>
    <w:rsid w:val="23D10A98"/>
    <w:rsid w:val="263E1D98"/>
    <w:rsid w:val="279905B2"/>
    <w:rsid w:val="29A861E6"/>
    <w:rsid w:val="2A1E693F"/>
    <w:rsid w:val="2D3D6D87"/>
    <w:rsid w:val="306553B8"/>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270FCB"/>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2021-08-13T08:59:11Z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