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0125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20220125</w:t>
      </w:r>
    </w:p>
    <w:tbl>
      <w:tblPr>
        <w:tblStyle w:val="5"/>
        <w:tblpPr w:leftFromText="180" w:rightFromText="180" w:vertAnchor="text" w:tblpY="1"/>
        <w:tblOverlap w:val="never"/>
        <w:tblW w:w="1570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陕西健城体外诊断试剂有限公司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陕西省西安市雁塔区高新区南三环辅道G25号3幢2楼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更换时钟芯片*6，更换晶振*6，更新程序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更换时钟芯片*1，更换晶振*1，更新程序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2F55574"/>
    <w:rsid w:val="23B51B03"/>
    <w:rsid w:val="23D10A98"/>
    <w:rsid w:val="263E1D98"/>
    <w:rsid w:val="27116EA5"/>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D4203D5"/>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2022-01-25T09:27:31Z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