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WM20220120</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20220120</w:t>
      </w:r>
      <w:bookmarkStart w:id="0" w:name="_GoBack"/>
      <w:bookmarkEnd w:id="0"/>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ascii="Helvetica" w:hAnsi="Helvetica" w:eastAsia="Helvetica" w:cs="Helvetica"/>
                <w:i w:val="0"/>
                <w:iCs w:val="0"/>
                <w:caps w:val="0"/>
                <w:color w:val="333333"/>
                <w:spacing w:val="0"/>
                <w:sz w:val="21"/>
                <w:szCs w:val="21"/>
                <w:shd w:val="clear" w:fill="FFFFFF"/>
              </w:rPr>
              <w:t>国药控股四川攀枝花医药有限公司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田仁敏</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18081722302</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四川省攀枝花市东区金沙江大道中段47号2栋2单元1-2号</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tabs>
                <w:tab w:val="left" w:pos="383"/>
                <w:tab w:val="center" w:pos="900"/>
              </w:tabs>
              <w:spacing w:line="0" w:lineRule="atLeast"/>
              <w:jc w:val="left"/>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田仁敏</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18081722302</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5F5F5"/>
              </w:rPr>
              <w:t>EGT-100C</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061C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1</TotalTime>
  <ScaleCrop>false</ScaleCrop>
  <LinksUpToDate>false</LinksUpToDate>
  <CharactersWithSpaces>616</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2022-01-20T08:31:17Z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753E0AC395F945A1AC4E376A690FA2FB</vt:lpwstr>
  </property>
</Properties>
</file>