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2021.0528</w:t>
      </w:r>
    </w:p>
    <w:tbl>
      <w:tblPr>
        <w:tblStyle w:val="5"/>
        <w:tblpPr w:leftFromText="180" w:rightFromText="180" w:vertAnchor="text" w:tblpX="1"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35"/>
        <w:gridCol w:w="1060"/>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5"/>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5"/>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陕西省西安市灞桥区国际港务区港务大道369号 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5"/>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335"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319"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335"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4319"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卡过期</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补发新卡4</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1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60"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20210528</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3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422"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3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422"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6"/>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7"/>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389022D"/>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53</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2021-05-28T07:21:12Z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