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焊接工艺流程和工艺要求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1、焊接过程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第一步：</w:t>
      </w:r>
      <w:r>
        <w:rPr>
          <w:rFonts w:hint="eastAsia"/>
          <w:lang w:eastAsia="zh-CN"/>
        </w:rPr>
        <w:t>物料清点，工艺文件确认；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第二步：</w:t>
      </w:r>
      <w:r>
        <w:rPr>
          <w:rFonts w:hint="eastAsia"/>
        </w:rPr>
        <w:t>贴片焊接，对于所有贴片器件回流焊；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三</w:t>
      </w:r>
      <w:r>
        <w:rPr>
          <w:rFonts w:hint="eastAsia"/>
        </w:rPr>
        <w:t>步：做三防处理；</w:t>
      </w:r>
      <w:r>
        <w:rPr>
          <w:rFonts w:hint="eastAsia"/>
          <w:lang w:eastAsia="zh-CN"/>
        </w:rPr>
        <w:t>三防处理要求见《工业锂点LD-IC-01_V1.3三防漆遮挡示意图》，</w:t>
      </w:r>
      <w:r>
        <w:rPr>
          <w:rFonts w:hint="eastAsia"/>
        </w:rPr>
        <w:t>三防过程中，以下元件要做遮挡处理：FPC-0.5-16P抽屉接口处+FPC-0.5-8P翻盖接口处+蜂鸣器口+WIFI模块天线接口处+TypeC座接口处。</w:t>
      </w:r>
    </w:p>
    <w:p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  <w:lang w:eastAsia="zh-CN"/>
        </w:rPr>
        <w:t>四</w:t>
      </w:r>
      <w:r>
        <w:rPr>
          <w:rFonts w:hint="eastAsia"/>
        </w:rPr>
        <w:t>步，手动焊接插接件：电源座和弹簧按键、下载座；程序下载座1.25-6A+触摸按键S1\S2+电池插座PH-2AW；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第五步：检验与维修；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第六步：验收，打码入库；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2、焊接</w:t>
      </w:r>
      <w:r>
        <w:rPr>
          <w:rFonts w:hint="eastAsia"/>
          <w:b/>
          <w:bCs/>
          <w:sz w:val="28"/>
          <w:szCs w:val="28"/>
          <w:lang w:eastAsia="zh-CN"/>
        </w:rPr>
        <w:t>工艺要求</w:t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焊接工艺：</w:t>
      </w:r>
    </w:p>
    <w:p>
      <w:r>
        <w:drawing>
          <wp:inline distT="0" distB="0" distL="114300" distR="114300">
            <wp:extent cx="5266690" cy="111633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过炉 SMT 建议和要求：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如果主板焊接条件允许，可采用较低熔点和回流温度（低于模组上焊锡的熔点 </w:t>
      </w:r>
      <w:r>
        <w:rPr>
          <w:rFonts w:hint="default"/>
          <w:lang w:val="en-US" w:eastAsia="zh-CN"/>
        </w:rPr>
        <w:t>217</w:t>
      </w:r>
      <w:r>
        <w:rPr>
          <w:rFonts w:hint="eastAsia"/>
          <w:lang w:val="en-US" w:eastAsia="zh-CN"/>
        </w:rPr>
        <w:t xml:space="preserve">℃）的锡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膏进行低温焊接，这样可以避免模组上的焊锡再次融化（半融或回流）。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建议的炉温曲线和工艺参数：</w:t>
      </w:r>
    </w:p>
    <w:p>
      <w:r>
        <w:drawing>
          <wp:inline distT="0" distB="0" distL="114300" distR="114300">
            <wp:extent cx="4848225" cy="45053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特别说明：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虽然有铅锡膏熔点比无铅锡膏低约 35℃，但如果采用有铅工艺，也应按照无铅工艺执行；即确保回流温度不低于 220℃，持续时间超过 45 秒，且顶点温度达到 240℃，以避免器件、模组的上焊锡在回流时处于半融状态而导致器件、模组上的元器件出现虚焊。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注意事项 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生产过程中若需用手拿模组时，不可光手去拿，一定要戴上手套以及静电环。 以避免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 xml:space="preserve">ESD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意外损坏模块。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过炉时，应确保模块水平放置，且不能产生震动。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例如，尽量在平稳轨道的炉子里过炉，避免在有弹性容易振荡的铁丝网上锅炉。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模组钢网开口建议比原焊盘稍大 </w:t>
      </w:r>
      <w:r>
        <w:rPr>
          <w:rFonts w:hint="default" w:ascii="Arial" w:hAnsi="Arial" w:eastAsia="宋体" w:cs="Arial"/>
          <w:color w:val="000000"/>
          <w:kern w:val="0"/>
          <w:sz w:val="20"/>
          <w:szCs w:val="20"/>
          <w:lang w:val="en-US" w:eastAsia="zh-CN" w:bidi="ar"/>
        </w:rPr>
        <w:t>20-30%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，开口多向外偏。确保模块管脚焊锡量足够爬到模块的邮票孔焊盘上。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在相对湿度较大的环境放置时间过长后，过炉前应充分烘烤以去除水分。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-BoldM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CA368"/>
    <w:multiLevelType w:val="multilevel"/>
    <w:tmpl w:val="824CA368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8A81B63B"/>
    <w:multiLevelType w:val="singleLevel"/>
    <w:tmpl w:val="8A81B63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1A9E"/>
    <w:rsid w:val="042B3634"/>
    <w:rsid w:val="080A1BA9"/>
    <w:rsid w:val="09B75F88"/>
    <w:rsid w:val="0A9A7D8A"/>
    <w:rsid w:val="0EF52B64"/>
    <w:rsid w:val="11A65FA5"/>
    <w:rsid w:val="11D523BC"/>
    <w:rsid w:val="12EC2D58"/>
    <w:rsid w:val="146E3D7D"/>
    <w:rsid w:val="15033A5D"/>
    <w:rsid w:val="16D76969"/>
    <w:rsid w:val="17E85158"/>
    <w:rsid w:val="1B42107A"/>
    <w:rsid w:val="1C0861B7"/>
    <w:rsid w:val="1E6B2F1F"/>
    <w:rsid w:val="1E755194"/>
    <w:rsid w:val="1E942279"/>
    <w:rsid w:val="1F977F64"/>
    <w:rsid w:val="22CB3D8C"/>
    <w:rsid w:val="24450514"/>
    <w:rsid w:val="2AD16470"/>
    <w:rsid w:val="2D6432AB"/>
    <w:rsid w:val="2FFC2137"/>
    <w:rsid w:val="303B0A39"/>
    <w:rsid w:val="321A4F82"/>
    <w:rsid w:val="32E81C84"/>
    <w:rsid w:val="331A6BA5"/>
    <w:rsid w:val="335E0A30"/>
    <w:rsid w:val="343D01E4"/>
    <w:rsid w:val="38EA788B"/>
    <w:rsid w:val="39E95AE0"/>
    <w:rsid w:val="3E8D20D5"/>
    <w:rsid w:val="404D5D35"/>
    <w:rsid w:val="415C3EF1"/>
    <w:rsid w:val="430568DF"/>
    <w:rsid w:val="45432C6C"/>
    <w:rsid w:val="491463BF"/>
    <w:rsid w:val="4ABF3C86"/>
    <w:rsid w:val="4BEA32D2"/>
    <w:rsid w:val="4C2B676A"/>
    <w:rsid w:val="4D9E7B53"/>
    <w:rsid w:val="4DBC1FC8"/>
    <w:rsid w:val="511B460E"/>
    <w:rsid w:val="51B74688"/>
    <w:rsid w:val="52E10698"/>
    <w:rsid w:val="579C0C00"/>
    <w:rsid w:val="596D08C6"/>
    <w:rsid w:val="59EB27B8"/>
    <w:rsid w:val="5C4B4365"/>
    <w:rsid w:val="5D8A60E0"/>
    <w:rsid w:val="5F840D75"/>
    <w:rsid w:val="60FB5552"/>
    <w:rsid w:val="63522C88"/>
    <w:rsid w:val="637F57B4"/>
    <w:rsid w:val="66C32E6E"/>
    <w:rsid w:val="69903F17"/>
    <w:rsid w:val="6BCD05F5"/>
    <w:rsid w:val="6C247AC1"/>
    <w:rsid w:val="6C5F7988"/>
    <w:rsid w:val="6CD26D12"/>
    <w:rsid w:val="6F280836"/>
    <w:rsid w:val="70310064"/>
    <w:rsid w:val="74635D35"/>
    <w:rsid w:val="769001A6"/>
    <w:rsid w:val="78343BF3"/>
    <w:rsid w:val="78900811"/>
    <w:rsid w:val="7B9C7EB2"/>
    <w:rsid w:val="7BB52838"/>
    <w:rsid w:val="7C326610"/>
    <w:rsid w:val="7C63343F"/>
    <w:rsid w:val="7D7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numPr>
        <w:ilvl w:val="0"/>
        <w:numId w:val="1"/>
      </w:numPr>
      <w:spacing w:before="340" w:after="330" w:line="360" w:lineRule="auto"/>
      <w:ind w:left="432" w:hanging="432"/>
      <w:outlineLvl w:val="0"/>
    </w:pPr>
    <w:rPr>
      <w:rFonts w:ascii="宋体" w:hAnsi="宋体"/>
      <w:b/>
      <w:bCs/>
      <w:color w:val="000000"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105"/>
        <w:tab w:val="left" w:pos="420"/>
      </w:tabs>
      <w:spacing w:before="260" w:beforeLines="0" w:beforeAutospacing="0" w:after="260" w:afterLines="0" w:afterAutospacing="0" w:line="413" w:lineRule="auto"/>
      <w:ind w:left="575" w:leftChars="0" w:hanging="575"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rFonts w:asciiTheme="minorAscii" w:hAnsiTheme="minorAscii"/>
      <w:b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customStyle="1" w:styleId="14">
    <w:name w:val="样式4"/>
    <w:basedOn w:val="2"/>
    <w:next w:val="1"/>
    <w:qFormat/>
    <w:uiPriority w:val="0"/>
    <w:pPr>
      <w:tabs>
        <w:tab w:val="left" w:pos="0"/>
      </w:tabs>
    </w:pPr>
    <w:rPr>
      <w:rFonts w:ascii="宋体" w:hAnsi="宋体"/>
      <w:color w:val="000000"/>
      <w:sz w:val="32"/>
      <w:szCs w:val="44"/>
    </w:rPr>
  </w:style>
  <w:style w:type="character" w:customStyle="1" w:styleId="15">
    <w:name w:val="标题 1 Char"/>
    <w:link w:val="2"/>
    <w:qFormat/>
    <w:uiPriority w:val="0"/>
    <w:rPr>
      <w:rFonts w:ascii="宋体" w:hAnsi="宋体" w:eastAsiaTheme="minorEastAsia"/>
      <w:b/>
      <w:bCs/>
      <w:color w:val="000000"/>
      <w:kern w:val="44"/>
      <w:sz w:val="32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="Arial" w:hAnsi="Arial" w:eastAsiaTheme="majorEastAsia" w:cstheme="majorBidi"/>
      <w:b/>
      <w:bCs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2020-05-13T01:53:00Z</dcterms:created>
  <dc:creator>lenovo</dc:creator>
  <cp:lastModifiedBy>李代万</cp:lastModifiedBy>
  <dcterms:modified xsi:type="dcterms:W3CDTF">2021-09-02T01:25:42Z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0D7C3AAB82F54AF786F08BDEC0011B94</vt:lpwstr>
  </property>
</Properties>
</file>