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64" w:lineRule="auto"/>
        <w:ind w:firstLine="4189" w:firstLineChars="1304"/>
        <w:rPr>
          <w:rFonts w:ascii="宋体"/>
          <w:b/>
          <w:bCs/>
          <w:sz w:val="32"/>
          <w:szCs w:val="32"/>
        </w:rPr>
      </w:pPr>
      <w:r>
        <w:rPr>
          <w:rFonts w:hint="eastAsia" w:ascii="宋体" w:cs="宋体"/>
          <w:b/>
          <w:bCs/>
          <w:sz w:val="32"/>
          <w:szCs w:val="32"/>
        </w:rPr>
        <w:t>购销合同</w:t>
      </w:r>
    </w:p>
    <w:p>
      <w:pPr>
        <w:spacing w:line="360" w:lineRule="auto"/>
        <w:rPr>
          <w:sz w:val="24"/>
          <w:szCs w:val="24"/>
          <w:u w:val="single"/>
        </w:rPr>
      </w:pPr>
      <w:r>
        <w:rPr>
          <w:rFonts w:hint="eastAsia" w:ascii="宋体" w:cs="宋体"/>
          <w:sz w:val="24"/>
          <w:szCs w:val="24"/>
        </w:rPr>
        <w:t>订货方（甲方）：</w:t>
      </w:r>
      <w:r>
        <w:rPr>
          <w:rFonts w:hint="eastAsia" w:ascii="宋体" w:hAnsi="宋体" w:cs="宋体"/>
          <w:kern w:val="0"/>
          <w:sz w:val="24"/>
          <w:szCs w:val="24"/>
          <w:u w:val="single"/>
        </w:rPr>
        <w:t>北京</w:t>
      </w:r>
      <w:r>
        <w:rPr>
          <w:rFonts w:hint="eastAsia" w:ascii="宋体" w:hAnsi="宋体" w:cs="宋体"/>
          <w:kern w:val="0"/>
          <w:sz w:val="24"/>
          <w:szCs w:val="24"/>
          <w:u w:val="single"/>
          <w:lang w:val="en-US" w:eastAsia="zh-CN"/>
        </w:rPr>
        <w:t>诺信泰伺服</w:t>
      </w:r>
      <w:r>
        <w:rPr>
          <w:rFonts w:hint="eastAsia" w:ascii="宋体" w:hAnsi="宋体" w:cs="宋体"/>
          <w:kern w:val="0"/>
          <w:sz w:val="24"/>
          <w:szCs w:val="24"/>
          <w:u w:val="single"/>
        </w:rPr>
        <w:t>科技有限公司</w:t>
      </w:r>
      <w:r>
        <w:rPr>
          <w:rFonts w:hint="eastAsia" w:ascii="宋体" w:cs="宋体"/>
          <w:sz w:val="24"/>
          <w:szCs w:val="24"/>
        </w:rPr>
        <w:t xml:space="preserve">              </w:t>
      </w:r>
    </w:p>
    <w:p>
      <w:pPr>
        <w:spacing w:line="360" w:lineRule="auto"/>
        <w:rPr>
          <w:rFonts w:hint="default" w:ascii="宋体" w:eastAsia="宋体" w:cs="宋体"/>
          <w:sz w:val="24"/>
          <w:szCs w:val="24"/>
          <w:lang w:val="en-US" w:eastAsia="zh-CN"/>
        </w:rPr>
      </w:pPr>
      <w:r>
        <w:rPr>
          <w:rFonts w:hint="eastAsia" w:ascii="宋体" w:cs="宋体"/>
          <w:sz w:val="24"/>
          <w:szCs w:val="24"/>
        </w:rPr>
        <w:t>供货方（乙方）：</w:t>
      </w:r>
      <w:r>
        <w:rPr>
          <w:rFonts w:hint="eastAsia" w:ascii="宋体" w:cs="宋体"/>
          <w:sz w:val="24"/>
          <w:szCs w:val="24"/>
          <w:lang w:val="en-US" w:eastAsia="zh-CN"/>
        </w:rPr>
        <w:t>北京智芯龙悦科技有限公司</w:t>
      </w:r>
    </w:p>
    <w:p>
      <w:pPr>
        <w:widowControl/>
        <w:spacing w:line="360" w:lineRule="auto"/>
        <w:jc w:val="left"/>
        <w:rPr>
          <w:rFonts w:ascii="宋体" w:cs="宋体"/>
          <w:sz w:val="20"/>
          <w:szCs w:val="20"/>
          <w:u w:val="single"/>
        </w:rPr>
      </w:pPr>
      <w:r>
        <w:rPr>
          <w:rFonts w:hint="eastAsia" w:ascii="宋体" w:cs="宋体"/>
          <w:sz w:val="20"/>
          <w:szCs w:val="20"/>
        </w:rPr>
        <w:t xml:space="preserve">签订日期：   </w:t>
      </w:r>
      <w:r>
        <w:rPr>
          <w:rFonts w:hint="eastAsia" w:ascii="宋体" w:cs="宋体"/>
          <w:sz w:val="20"/>
          <w:szCs w:val="20"/>
          <w:lang w:val="en-US" w:eastAsia="zh-CN"/>
        </w:rPr>
        <w:t>2021-08-25</w:t>
      </w:r>
      <w:r>
        <w:rPr>
          <w:rFonts w:hint="eastAsia" w:ascii="宋体" w:cs="宋体"/>
          <w:sz w:val="20"/>
          <w:szCs w:val="20"/>
        </w:rPr>
        <w:t xml:space="preserve">                                    </w:t>
      </w:r>
    </w:p>
    <w:p>
      <w:pPr>
        <w:spacing w:line="360" w:lineRule="auto"/>
        <w:rPr>
          <w:rFonts w:hint="default" w:ascii="宋体" w:eastAsia="宋体" w:cs="宋体"/>
          <w:sz w:val="20"/>
          <w:szCs w:val="20"/>
          <w:lang w:val="en-US" w:eastAsia="zh-CN"/>
        </w:rPr>
      </w:pPr>
      <w:r>
        <w:rPr>
          <w:rFonts w:hint="eastAsia" w:ascii="宋体" w:cs="宋体"/>
          <w:sz w:val="20"/>
          <w:szCs w:val="20"/>
        </w:rPr>
        <w:t>合同编号：</w:t>
      </w:r>
      <w:r>
        <w:rPr>
          <w:rFonts w:hint="eastAsia" w:ascii="宋体" w:cs="宋体"/>
          <w:sz w:val="20"/>
          <w:szCs w:val="20"/>
          <w:lang w:val="en-US" w:eastAsia="zh-CN"/>
        </w:rPr>
        <w:t>NXT-ZHXLY-20210825-001</w:t>
      </w:r>
    </w:p>
    <w:p>
      <w:pPr>
        <w:spacing w:line="360" w:lineRule="auto"/>
        <w:rPr>
          <w:sz w:val="20"/>
          <w:szCs w:val="20"/>
          <w:u w:val="single"/>
        </w:rPr>
      </w:pPr>
      <w:r>
        <w:rPr>
          <w:rFonts w:hint="eastAsia" w:ascii="宋体" w:cs="宋体"/>
          <w:sz w:val="20"/>
          <w:szCs w:val="20"/>
        </w:rPr>
        <w:t>签署地点：北京</w:t>
      </w:r>
    </w:p>
    <w:p>
      <w:pPr>
        <w:pStyle w:val="18"/>
        <w:numPr>
          <w:ilvl w:val="0"/>
          <w:numId w:val="1"/>
        </w:numPr>
        <w:spacing w:line="360" w:lineRule="auto"/>
        <w:ind w:firstLineChars="0"/>
        <w:rPr>
          <w:rFonts w:ascii="宋体" w:cs="宋体"/>
          <w:b/>
          <w:bCs/>
        </w:rPr>
      </w:pPr>
      <w:r>
        <w:rPr>
          <w:rFonts w:hint="eastAsia" w:ascii="宋体" w:cs="宋体"/>
          <w:b/>
          <w:bCs/>
        </w:rPr>
        <w:t>产品名称</w:t>
      </w:r>
      <w:r>
        <w:rPr>
          <w:rFonts w:ascii="宋体" w:cs="宋体"/>
          <w:b/>
          <w:bCs/>
        </w:rPr>
        <w:t>，</w:t>
      </w:r>
      <w:r>
        <w:rPr>
          <w:rFonts w:hint="eastAsia" w:ascii="宋体" w:cs="宋体"/>
          <w:b/>
          <w:bCs/>
        </w:rPr>
        <w:t>型号及数量如下</w:t>
      </w:r>
      <w:r>
        <w:rPr>
          <w:rFonts w:ascii="宋体" w:cs="宋体"/>
          <w:b/>
          <w:bCs/>
        </w:rPr>
        <w:t>：</w:t>
      </w:r>
    </w:p>
    <w:tbl>
      <w:tblPr>
        <w:tblStyle w:val="7"/>
        <w:tblpPr w:leftFromText="180" w:rightFromText="180" w:vertAnchor="text" w:tblpXSpec="center" w:tblpY="1"/>
        <w:tblOverlap w:val="never"/>
        <w:tblW w:w="10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59"/>
        <w:gridCol w:w="1414"/>
        <w:gridCol w:w="1161"/>
        <w:gridCol w:w="941"/>
        <w:gridCol w:w="1057"/>
        <w:gridCol w:w="1189"/>
        <w:gridCol w:w="931"/>
        <w:gridCol w:w="91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20" w:type="dxa"/>
            <w:vAlign w:val="center"/>
          </w:tcPr>
          <w:p>
            <w:pPr>
              <w:spacing w:line="360" w:lineRule="auto"/>
              <w:jc w:val="left"/>
              <w:outlineLvl w:val="0"/>
              <w:rPr>
                <w:rFonts w:ascii="宋体"/>
                <w:b/>
                <w:bCs/>
                <w:sz w:val="20"/>
                <w:szCs w:val="20"/>
              </w:rPr>
            </w:pPr>
            <w:r>
              <w:rPr>
                <w:rFonts w:hint="eastAsia" w:ascii="宋体" w:cs="宋体"/>
                <w:b/>
                <w:bCs/>
                <w:sz w:val="20"/>
                <w:szCs w:val="20"/>
              </w:rPr>
              <w:t>序号</w:t>
            </w:r>
          </w:p>
        </w:tc>
        <w:tc>
          <w:tcPr>
            <w:tcW w:w="1359" w:type="dxa"/>
            <w:vAlign w:val="center"/>
          </w:tcPr>
          <w:p>
            <w:pPr>
              <w:spacing w:line="360" w:lineRule="auto"/>
              <w:jc w:val="left"/>
              <w:outlineLvl w:val="0"/>
              <w:rPr>
                <w:rFonts w:ascii="宋体" w:cs="宋体"/>
                <w:b/>
                <w:bCs/>
                <w:sz w:val="20"/>
                <w:szCs w:val="20"/>
              </w:rPr>
            </w:pPr>
            <w:r>
              <w:rPr>
                <w:rFonts w:hint="eastAsia" w:ascii="宋体" w:cs="宋体"/>
                <w:b/>
                <w:bCs/>
                <w:sz w:val="20"/>
                <w:szCs w:val="20"/>
              </w:rPr>
              <w:t>产品名称</w:t>
            </w:r>
          </w:p>
        </w:tc>
        <w:tc>
          <w:tcPr>
            <w:tcW w:w="1414" w:type="dxa"/>
            <w:vAlign w:val="center"/>
          </w:tcPr>
          <w:p>
            <w:pPr>
              <w:spacing w:line="360" w:lineRule="auto"/>
              <w:jc w:val="left"/>
              <w:outlineLvl w:val="0"/>
              <w:rPr>
                <w:rFonts w:ascii="宋体"/>
                <w:b/>
                <w:bCs/>
                <w:sz w:val="20"/>
                <w:szCs w:val="20"/>
              </w:rPr>
            </w:pPr>
            <w:r>
              <w:rPr>
                <w:rFonts w:hint="eastAsia" w:ascii="宋体" w:cs="宋体"/>
                <w:b/>
                <w:bCs/>
                <w:sz w:val="20"/>
                <w:szCs w:val="20"/>
              </w:rPr>
              <w:t>型号规格/封装</w:t>
            </w:r>
          </w:p>
        </w:tc>
        <w:tc>
          <w:tcPr>
            <w:tcW w:w="1161" w:type="dxa"/>
            <w:vAlign w:val="center"/>
          </w:tcPr>
          <w:p>
            <w:pPr>
              <w:spacing w:line="360" w:lineRule="auto"/>
              <w:jc w:val="left"/>
              <w:outlineLvl w:val="0"/>
              <w:rPr>
                <w:rFonts w:ascii="宋体"/>
                <w:b/>
                <w:bCs/>
                <w:sz w:val="20"/>
                <w:szCs w:val="20"/>
              </w:rPr>
            </w:pPr>
            <w:r>
              <w:rPr>
                <w:rFonts w:hint="eastAsia" w:ascii="宋体"/>
                <w:b/>
                <w:bCs/>
                <w:sz w:val="20"/>
                <w:szCs w:val="20"/>
              </w:rPr>
              <w:t>品牌/厂家</w:t>
            </w:r>
          </w:p>
        </w:tc>
        <w:tc>
          <w:tcPr>
            <w:tcW w:w="941" w:type="dxa"/>
            <w:vAlign w:val="center"/>
          </w:tcPr>
          <w:p>
            <w:pPr>
              <w:spacing w:line="360" w:lineRule="auto"/>
              <w:jc w:val="left"/>
              <w:outlineLvl w:val="0"/>
              <w:rPr>
                <w:rFonts w:hint="eastAsia" w:ascii="宋体" w:eastAsia="宋体" w:cs="宋体"/>
                <w:b/>
                <w:bCs/>
                <w:sz w:val="20"/>
                <w:szCs w:val="20"/>
                <w:lang w:eastAsia="zh-CN"/>
              </w:rPr>
            </w:pPr>
            <w:r>
              <w:rPr>
                <w:rFonts w:hint="eastAsia" w:ascii="宋体" w:cs="宋体"/>
                <w:b/>
                <w:bCs/>
                <w:sz w:val="20"/>
                <w:szCs w:val="20"/>
                <w:lang w:val="en-US" w:eastAsia="zh-CN"/>
              </w:rPr>
              <w:t>类型</w:t>
            </w:r>
          </w:p>
        </w:tc>
        <w:tc>
          <w:tcPr>
            <w:tcW w:w="1057" w:type="dxa"/>
            <w:vAlign w:val="center"/>
          </w:tcPr>
          <w:p>
            <w:pPr>
              <w:spacing w:line="360" w:lineRule="auto"/>
              <w:jc w:val="left"/>
              <w:outlineLvl w:val="0"/>
              <w:rPr>
                <w:rFonts w:ascii="宋体"/>
                <w:b/>
                <w:bCs/>
                <w:sz w:val="20"/>
                <w:szCs w:val="20"/>
              </w:rPr>
            </w:pPr>
            <w:r>
              <w:rPr>
                <w:rFonts w:hint="eastAsia" w:ascii="宋体" w:cs="宋体"/>
                <w:b/>
                <w:bCs/>
                <w:sz w:val="20"/>
                <w:szCs w:val="20"/>
              </w:rPr>
              <w:t>数量（片）</w:t>
            </w:r>
          </w:p>
        </w:tc>
        <w:tc>
          <w:tcPr>
            <w:tcW w:w="1189" w:type="dxa"/>
            <w:vAlign w:val="center"/>
          </w:tcPr>
          <w:p>
            <w:pPr>
              <w:spacing w:line="360" w:lineRule="auto"/>
              <w:jc w:val="left"/>
              <w:outlineLvl w:val="0"/>
              <w:rPr>
                <w:rFonts w:ascii="宋体" w:cs="宋体"/>
                <w:b/>
                <w:bCs/>
                <w:sz w:val="20"/>
                <w:szCs w:val="20"/>
              </w:rPr>
            </w:pPr>
            <w:r>
              <w:rPr>
                <w:rFonts w:hint="eastAsia" w:ascii="宋体" w:cs="宋体"/>
                <w:b/>
                <w:bCs/>
                <w:sz w:val="20"/>
                <w:szCs w:val="20"/>
              </w:rPr>
              <w:t>单价</w:t>
            </w:r>
            <w:r>
              <w:rPr>
                <w:rFonts w:ascii="宋体" w:cs="宋体"/>
                <w:b/>
                <w:bCs/>
                <w:sz w:val="20"/>
                <w:szCs w:val="20"/>
              </w:rPr>
              <w:t>(</w:t>
            </w:r>
            <w:r>
              <w:rPr>
                <w:rFonts w:hint="eastAsia" w:ascii="宋体" w:cs="宋体"/>
                <w:b/>
                <w:bCs/>
                <w:sz w:val="20"/>
                <w:szCs w:val="20"/>
                <w:lang w:val="en-US" w:eastAsia="zh-CN"/>
              </w:rPr>
              <w:t>元</w:t>
            </w:r>
            <w:r>
              <w:rPr>
                <w:rFonts w:ascii="宋体" w:cs="宋体"/>
                <w:b/>
                <w:bCs/>
                <w:sz w:val="20"/>
                <w:szCs w:val="20"/>
              </w:rPr>
              <w:t>)</w:t>
            </w:r>
          </w:p>
        </w:tc>
        <w:tc>
          <w:tcPr>
            <w:tcW w:w="931" w:type="dxa"/>
            <w:vAlign w:val="center"/>
          </w:tcPr>
          <w:p>
            <w:pPr>
              <w:spacing w:line="360" w:lineRule="auto"/>
              <w:jc w:val="left"/>
              <w:outlineLvl w:val="0"/>
              <w:rPr>
                <w:rFonts w:ascii="宋体" w:cs="宋体"/>
                <w:b/>
                <w:bCs/>
                <w:sz w:val="20"/>
                <w:szCs w:val="20"/>
              </w:rPr>
            </w:pPr>
            <w:r>
              <w:rPr>
                <w:rFonts w:hint="eastAsia" w:ascii="宋体" w:cs="宋体"/>
                <w:b/>
                <w:bCs/>
                <w:sz w:val="20"/>
                <w:szCs w:val="20"/>
              </w:rPr>
              <w:t>金额</w:t>
            </w:r>
            <w:r>
              <w:rPr>
                <w:rFonts w:ascii="宋体" w:cs="宋体"/>
                <w:b/>
                <w:bCs/>
                <w:sz w:val="20"/>
                <w:szCs w:val="20"/>
              </w:rPr>
              <w:t>(</w:t>
            </w:r>
            <w:r>
              <w:rPr>
                <w:rFonts w:hint="eastAsia" w:ascii="宋体" w:cs="宋体"/>
                <w:b/>
                <w:bCs/>
                <w:sz w:val="20"/>
                <w:szCs w:val="20"/>
                <w:lang w:val="en-US" w:eastAsia="zh-CN"/>
              </w:rPr>
              <w:t>元</w:t>
            </w:r>
            <w:r>
              <w:rPr>
                <w:rFonts w:ascii="宋体" w:cs="宋体"/>
                <w:b/>
                <w:bCs/>
                <w:sz w:val="20"/>
                <w:szCs w:val="20"/>
              </w:rPr>
              <w:t>)</w:t>
            </w:r>
          </w:p>
        </w:tc>
        <w:tc>
          <w:tcPr>
            <w:tcW w:w="910" w:type="dxa"/>
            <w:vAlign w:val="center"/>
          </w:tcPr>
          <w:p>
            <w:pPr>
              <w:spacing w:line="360" w:lineRule="auto"/>
              <w:jc w:val="left"/>
              <w:outlineLvl w:val="0"/>
              <w:rPr>
                <w:rFonts w:ascii="宋体"/>
                <w:b/>
                <w:bCs/>
                <w:sz w:val="20"/>
                <w:szCs w:val="20"/>
              </w:rPr>
            </w:pPr>
            <w:r>
              <w:rPr>
                <w:rFonts w:hint="eastAsia" w:ascii="宋体"/>
                <w:b/>
                <w:bCs/>
                <w:sz w:val="20"/>
                <w:szCs w:val="20"/>
              </w:rPr>
              <w:t>货期</w:t>
            </w:r>
          </w:p>
        </w:tc>
        <w:tc>
          <w:tcPr>
            <w:tcW w:w="1060" w:type="dxa"/>
            <w:vAlign w:val="center"/>
          </w:tcPr>
          <w:p>
            <w:pPr>
              <w:spacing w:line="360" w:lineRule="auto"/>
              <w:jc w:val="left"/>
              <w:outlineLvl w:val="0"/>
              <w:rPr>
                <w:rFonts w:ascii="宋体" w:cs="宋体"/>
                <w:b/>
                <w:bCs/>
                <w:sz w:val="20"/>
                <w:szCs w:val="20"/>
              </w:rPr>
            </w:pPr>
            <w:r>
              <w:rPr>
                <w:rFonts w:hint="eastAsia" w:ascii="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dxa"/>
            <w:vAlign w:val="center"/>
          </w:tcPr>
          <w:p>
            <w:pPr>
              <w:spacing w:line="360" w:lineRule="auto"/>
              <w:rPr>
                <w:rFonts w:ascii="宋体" w:hAnsi="宋体" w:cs="宋体"/>
                <w:b/>
                <w:bCs/>
                <w:sz w:val="24"/>
                <w:szCs w:val="24"/>
              </w:rPr>
            </w:pPr>
            <w:r>
              <w:rPr>
                <w:rFonts w:hint="eastAsia" w:ascii="宋体" w:hAnsi="宋体" w:cs="宋体"/>
                <w:b/>
                <w:bCs/>
                <w:sz w:val="24"/>
                <w:szCs w:val="24"/>
              </w:rPr>
              <w:t>1</w:t>
            </w:r>
          </w:p>
        </w:tc>
        <w:tc>
          <w:tcPr>
            <w:tcW w:w="1359" w:type="dxa"/>
            <w:vAlign w:val="center"/>
          </w:tcPr>
          <w:p>
            <w:pPr>
              <w:spacing w:line="360" w:lineRule="auto"/>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SD266B</w:t>
            </w:r>
          </w:p>
        </w:tc>
        <w:tc>
          <w:tcPr>
            <w:tcW w:w="1414" w:type="dxa"/>
            <w:vAlign w:val="center"/>
          </w:tcPr>
          <w:p>
            <w:pPr>
              <w:widowControl/>
              <w:spacing w:line="360" w:lineRule="auto"/>
              <w:jc w:val="center"/>
              <w:rPr>
                <w:rFonts w:hint="default" w:ascii="宋体" w:hAnsi="宋体" w:eastAsia="宋体" w:cs="宋体"/>
                <w:b/>
                <w:bCs/>
                <w:sz w:val="18"/>
                <w:szCs w:val="18"/>
                <w:lang w:val="en-US" w:eastAsia="zh-CN"/>
              </w:rPr>
            </w:pPr>
          </w:p>
        </w:tc>
        <w:tc>
          <w:tcPr>
            <w:tcW w:w="1161" w:type="dxa"/>
            <w:vAlign w:val="center"/>
          </w:tcPr>
          <w:p>
            <w:pPr>
              <w:spacing w:line="360" w:lineRule="auto"/>
              <w:rPr>
                <w:rFonts w:hint="default" w:ascii="宋体" w:hAnsi="宋体" w:eastAsia="宋体" w:cs="宋体"/>
                <w:b/>
                <w:bCs/>
                <w:sz w:val="18"/>
                <w:szCs w:val="18"/>
                <w:lang w:val="en-US" w:eastAsia="zh-CN"/>
              </w:rPr>
            </w:pPr>
          </w:p>
        </w:tc>
        <w:tc>
          <w:tcPr>
            <w:tcW w:w="941" w:type="dxa"/>
            <w:vAlign w:val="center"/>
          </w:tcPr>
          <w:p>
            <w:pPr>
              <w:spacing w:line="360" w:lineRule="auto"/>
              <w:rPr>
                <w:rFonts w:hint="default" w:ascii="宋体" w:hAnsi="宋体" w:eastAsia="宋体" w:cs="宋体"/>
                <w:b/>
                <w:bCs/>
                <w:sz w:val="18"/>
                <w:szCs w:val="18"/>
                <w:lang w:val="en-US" w:eastAsia="zh-CN"/>
              </w:rPr>
            </w:pPr>
          </w:p>
        </w:tc>
        <w:tc>
          <w:tcPr>
            <w:tcW w:w="1057"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300</w:t>
            </w:r>
          </w:p>
        </w:tc>
        <w:tc>
          <w:tcPr>
            <w:tcW w:w="1189"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16.58</w:t>
            </w:r>
          </w:p>
        </w:tc>
        <w:tc>
          <w:tcPr>
            <w:tcW w:w="931"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4974</w:t>
            </w:r>
          </w:p>
        </w:tc>
        <w:tc>
          <w:tcPr>
            <w:tcW w:w="910" w:type="dxa"/>
            <w:vAlign w:val="center"/>
          </w:tcPr>
          <w:p>
            <w:pPr>
              <w:widowControl/>
              <w:spacing w:line="360" w:lineRule="auto"/>
              <w:rPr>
                <w:rFonts w:hint="default" w:ascii="宋体" w:hAnsi="宋体" w:eastAsia="宋体" w:cs="宋体"/>
                <w:b/>
                <w:bCs/>
                <w:sz w:val="18"/>
                <w:szCs w:val="18"/>
                <w:lang w:val="en-US" w:eastAsia="zh-CN"/>
              </w:rPr>
            </w:pPr>
          </w:p>
        </w:tc>
        <w:tc>
          <w:tcPr>
            <w:tcW w:w="1060" w:type="dxa"/>
            <w:vAlign w:val="center"/>
          </w:tcPr>
          <w:p>
            <w:pPr>
              <w:widowControl/>
              <w:spacing w:line="360" w:lineRule="auto"/>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0" w:type="dxa"/>
            <w:vAlign w:val="center"/>
          </w:tcPr>
          <w:p>
            <w:pPr>
              <w:spacing w:line="360" w:lineRule="auto"/>
              <w:rPr>
                <w:rFonts w:ascii="宋体" w:hAnsi="宋体" w:cs="宋体"/>
                <w:b/>
                <w:bCs/>
                <w:sz w:val="24"/>
                <w:szCs w:val="24"/>
              </w:rPr>
            </w:pPr>
            <w:r>
              <w:rPr>
                <w:rFonts w:hint="eastAsia" w:ascii="宋体" w:hAnsi="宋体" w:cs="宋体"/>
                <w:b/>
                <w:bCs/>
                <w:sz w:val="24"/>
                <w:szCs w:val="24"/>
              </w:rPr>
              <w:t>2</w:t>
            </w:r>
          </w:p>
        </w:tc>
        <w:tc>
          <w:tcPr>
            <w:tcW w:w="1359" w:type="dxa"/>
            <w:vAlign w:val="center"/>
          </w:tcPr>
          <w:p>
            <w:pPr>
              <w:spacing w:line="360" w:lineRule="auto"/>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SD266B-RS485</w:t>
            </w:r>
          </w:p>
        </w:tc>
        <w:tc>
          <w:tcPr>
            <w:tcW w:w="1414" w:type="dxa"/>
            <w:vAlign w:val="center"/>
          </w:tcPr>
          <w:p>
            <w:pPr>
              <w:spacing w:line="360" w:lineRule="auto"/>
              <w:jc w:val="center"/>
              <w:rPr>
                <w:rFonts w:ascii="宋体" w:hAnsi="宋体" w:cs="宋体"/>
                <w:b/>
                <w:bCs/>
                <w:sz w:val="18"/>
                <w:szCs w:val="18"/>
              </w:rPr>
            </w:pPr>
          </w:p>
        </w:tc>
        <w:tc>
          <w:tcPr>
            <w:tcW w:w="1161" w:type="dxa"/>
            <w:vAlign w:val="center"/>
          </w:tcPr>
          <w:p>
            <w:pPr>
              <w:spacing w:line="360" w:lineRule="auto"/>
              <w:rPr>
                <w:rFonts w:ascii="宋体" w:hAnsi="宋体" w:cs="宋体"/>
                <w:b/>
                <w:bCs/>
                <w:sz w:val="18"/>
                <w:szCs w:val="18"/>
              </w:rPr>
            </w:pPr>
          </w:p>
        </w:tc>
        <w:tc>
          <w:tcPr>
            <w:tcW w:w="941" w:type="dxa"/>
            <w:vAlign w:val="center"/>
          </w:tcPr>
          <w:p>
            <w:pPr>
              <w:spacing w:line="360" w:lineRule="auto"/>
              <w:rPr>
                <w:rFonts w:ascii="宋体" w:hAnsi="宋体" w:cs="宋体"/>
                <w:b/>
                <w:bCs/>
                <w:sz w:val="18"/>
                <w:szCs w:val="18"/>
              </w:rPr>
            </w:pPr>
          </w:p>
        </w:tc>
        <w:tc>
          <w:tcPr>
            <w:tcW w:w="1057"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100</w:t>
            </w:r>
          </w:p>
        </w:tc>
        <w:tc>
          <w:tcPr>
            <w:tcW w:w="1189"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16.44</w:t>
            </w:r>
          </w:p>
        </w:tc>
        <w:tc>
          <w:tcPr>
            <w:tcW w:w="931" w:type="dxa"/>
            <w:vAlign w:val="center"/>
          </w:tcPr>
          <w:p>
            <w:pPr>
              <w:spacing w:line="360" w:lineRule="auto"/>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1644</w:t>
            </w:r>
          </w:p>
        </w:tc>
        <w:tc>
          <w:tcPr>
            <w:tcW w:w="910" w:type="dxa"/>
          </w:tcPr>
          <w:p>
            <w:pPr>
              <w:spacing w:line="360" w:lineRule="auto"/>
            </w:pPr>
          </w:p>
        </w:tc>
        <w:tc>
          <w:tcPr>
            <w:tcW w:w="1060" w:type="dxa"/>
            <w:vAlign w:val="center"/>
          </w:tcPr>
          <w:p>
            <w:pPr>
              <w:widowControl/>
              <w:spacing w:line="360" w:lineRule="auto"/>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41" w:type="dxa"/>
            <w:gridSpan w:val="7"/>
            <w:vAlign w:val="center"/>
          </w:tcPr>
          <w:p>
            <w:pPr>
              <w:spacing w:line="360" w:lineRule="auto"/>
              <w:jc w:val="left"/>
              <w:outlineLvl w:val="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合计：</w:t>
            </w:r>
            <w:r>
              <w:rPr>
                <w:rFonts w:hint="eastAsia" w:cs="宋体" w:asciiTheme="minorEastAsia" w:hAnsiTheme="minorEastAsia" w:eastAsiaTheme="minorEastAsia"/>
                <w:b/>
                <w:bCs/>
                <w:sz w:val="24"/>
                <w:szCs w:val="24"/>
                <w:lang w:val="en-US" w:eastAsia="zh-CN"/>
              </w:rPr>
              <w:t xml:space="preserve">  元整 ，</w:t>
            </w:r>
            <w:r>
              <w:rPr>
                <w:rFonts w:hint="eastAsia" w:cs="宋体" w:asciiTheme="minorEastAsia" w:hAnsiTheme="minorEastAsia" w:eastAsiaTheme="minorEastAsia"/>
                <w:b/>
                <w:sz w:val="24"/>
                <w:szCs w:val="24"/>
              </w:rPr>
              <w:t>以上价格为含税价，含运费</w:t>
            </w:r>
          </w:p>
        </w:tc>
        <w:tc>
          <w:tcPr>
            <w:tcW w:w="931" w:type="dxa"/>
            <w:vAlign w:val="center"/>
          </w:tcPr>
          <w:p>
            <w:pPr>
              <w:spacing w:line="360" w:lineRule="auto"/>
              <w:jc w:val="right"/>
              <w:rPr>
                <w:color w:val="000000"/>
                <w:sz w:val="22"/>
                <w:szCs w:val="22"/>
              </w:rPr>
            </w:pPr>
          </w:p>
        </w:tc>
        <w:tc>
          <w:tcPr>
            <w:tcW w:w="910" w:type="dxa"/>
            <w:vAlign w:val="center"/>
          </w:tcPr>
          <w:p>
            <w:pPr>
              <w:spacing w:line="360" w:lineRule="auto"/>
              <w:jc w:val="left"/>
              <w:outlineLvl w:val="0"/>
              <w:rPr>
                <w:rFonts w:asciiTheme="minorEastAsia" w:hAnsiTheme="minorEastAsia" w:eastAsiaTheme="minorEastAsia"/>
                <w:b/>
                <w:bCs/>
                <w:sz w:val="24"/>
                <w:szCs w:val="24"/>
              </w:rPr>
            </w:pPr>
          </w:p>
        </w:tc>
        <w:tc>
          <w:tcPr>
            <w:tcW w:w="1060" w:type="dxa"/>
            <w:vAlign w:val="center"/>
          </w:tcPr>
          <w:p>
            <w:pPr>
              <w:spacing w:line="360" w:lineRule="auto"/>
              <w:jc w:val="left"/>
              <w:outlineLvl w:val="0"/>
              <w:rPr>
                <w:rFonts w:asciiTheme="minorEastAsia" w:hAnsiTheme="minorEastAsia" w:eastAsiaTheme="minorEastAsia"/>
                <w:b/>
                <w:bCs/>
                <w:sz w:val="24"/>
                <w:szCs w:val="24"/>
              </w:rPr>
            </w:pPr>
          </w:p>
        </w:tc>
      </w:tr>
    </w:tbl>
    <w:p>
      <w:pPr>
        <w:pStyle w:val="18"/>
        <w:numPr>
          <w:ilvl w:val="0"/>
          <w:numId w:val="1"/>
        </w:numPr>
        <w:spacing w:line="360" w:lineRule="auto"/>
        <w:ind w:firstLineChars="0"/>
        <w:rPr>
          <w:rFonts w:ascii="宋体" w:cs="宋体"/>
          <w:b/>
          <w:bCs/>
        </w:rPr>
      </w:pPr>
      <w:r>
        <w:rPr>
          <w:rFonts w:hint="eastAsia" w:ascii="宋体" w:cs="宋体"/>
          <w:b/>
          <w:bCs/>
        </w:rPr>
        <w:t>质量要求、技术标准、及供货方对质量负责的条件：</w:t>
      </w:r>
    </w:p>
    <w:p>
      <w:pPr>
        <w:numPr>
          <w:ilvl w:val="0"/>
          <w:numId w:val="2"/>
        </w:numPr>
        <w:spacing w:line="360" w:lineRule="auto"/>
        <w:rPr>
          <w:rFonts w:ascii="宋体" w:cs="宋体"/>
        </w:rPr>
      </w:pPr>
      <w:r>
        <w:rPr>
          <w:rFonts w:hint="eastAsia" w:ascii="宋体" w:cs="宋体"/>
        </w:rPr>
        <w:t>乙方提供的产品的质量及技术标准必须符合行业标准，并符合出厂检验标准，保证为原厂产品；标准不及国家标准部分按国家标准执行。</w:t>
      </w:r>
    </w:p>
    <w:p>
      <w:pPr>
        <w:numPr>
          <w:ilvl w:val="0"/>
          <w:numId w:val="2"/>
        </w:numPr>
        <w:spacing w:line="360" w:lineRule="auto"/>
        <w:rPr>
          <w:rFonts w:hint="eastAsia" w:ascii="宋体"/>
        </w:rPr>
      </w:pPr>
      <w:r>
        <w:rPr>
          <w:rFonts w:hint="eastAsia" w:ascii="宋体" w:cs="宋体"/>
        </w:rPr>
        <w:t>乙</w:t>
      </w:r>
      <w:r>
        <w:t>方的产品应当属于</w:t>
      </w:r>
      <w:r>
        <w:rPr>
          <w:rFonts w:hint="eastAsia" w:ascii="宋体" w:cs="宋体"/>
        </w:rPr>
        <w:t>乙</w:t>
      </w:r>
      <w:r>
        <w:t>方所有或者</w:t>
      </w:r>
      <w:r>
        <w:rPr>
          <w:rFonts w:hint="eastAsia" w:ascii="宋体" w:cs="宋体"/>
        </w:rPr>
        <w:t>乙</w:t>
      </w:r>
      <w:r>
        <w:t>方有权处分，均为来源正当合法之全新制品，不存在侵犯任何第三方利益或水货、假货的情形</w:t>
      </w:r>
      <w:r>
        <w:rPr>
          <w:rFonts w:hint="eastAsia"/>
        </w:rPr>
        <w:t>。</w:t>
      </w:r>
    </w:p>
    <w:p>
      <w:pPr>
        <w:numPr>
          <w:ilvl w:val="0"/>
          <w:numId w:val="2"/>
        </w:numPr>
        <w:tabs>
          <w:tab w:val="left" w:pos="0"/>
        </w:tabs>
        <w:spacing w:line="360" w:lineRule="auto"/>
        <w:rPr>
          <w:rFonts w:ascii="宋体"/>
          <w:sz w:val="18"/>
          <w:szCs w:val="18"/>
        </w:rPr>
      </w:pPr>
      <w:r>
        <w:rPr>
          <w:rFonts w:hint="eastAsia"/>
        </w:rPr>
        <w:t>质保期为通过验收后</w:t>
      </w:r>
      <w:r>
        <w:rPr>
          <w:rFonts w:hint="eastAsia"/>
          <w:u w:val="single"/>
        </w:rPr>
        <w:t xml:space="preserve"> </w:t>
      </w:r>
      <w:r>
        <w:rPr>
          <w:rFonts w:hint="eastAsia"/>
          <w:u w:val="single"/>
          <w:lang w:val="en-US" w:eastAsia="zh-CN"/>
        </w:rPr>
        <w:t>壹</w:t>
      </w:r>
      <w:r>
        <w:rPr>
          <w:rFonts w:hint="eastAsia"/>
          <w:u w:val="single"/>
        </w:rPr>
        <w:t xml:space="preserve"> </w:t>
      </w:r>
      <w:r>
        <w:rPr>
          <w:rFonts w:hint="eastAsia"/>
        </w:rPr>
        <w:t>年；乙方负责所提供的产品在质保期内免费提供三包服务。</w:t>
      </w:r>
      <w:r>
        <w:rPr>
          <w:rFonts w:ascii="Arial" w:hAnsi="Arial" w:cs="Arial"/>
          <w:bCs/>
        </w:rPr>
        <w:t>如</w:t>
      </w:r>
      <w:r>
        <w:rPr>
          <w:rFonts w:hint="eastAsia" w:ascii="Arial" w:hAnsi="Arial" w:cs="Arial"/>
          <w:bCs/>
        </w:rPr>
        <w:t>确属质保期内产品质量问题的，</w:t>
      </w:r>
      <w:r>
        <w:rPr>
          <w:rFonts w:ascii="Arial" w:hAnsi="Arial" w:cs="Arial"/>
          <w:bCs/>
        </w:rPr>
        <w:t>甲方</w:t>
      </w:r>
      <w:r>
        <w:rPr>
          <w:rFonts w:hint="eastAsia" w:ascii="Arial" w:hAnsi="Arial" w:cs="Arial"/>
          <w:bCs/>
        </w:rPr>
        <w:t>可在质保期内向乙方提出异议，</w:t>
      </w:r>
      <w:r>
        <w:rPr>
          <w:rFonts w:ascii="Arial" w:hAnsi="Arial" w:cs="Arial"/>
          <w:bCs/>
        </w:rPr>
        <w:t>甲方</w:t>
      </w:r>
      <w:r>
        <w:rPr>
          <w:rFonts w:hint="eastAsia" w:ascii="Arial" w:hAnsi="Arial" w:cs="Arial"/>
          <w:bCs/>
        </w:rPr>
        <w:t>有权对质量问题的产品要求退换货或双方协商解决，换货产品的质保期按照新发货重新计算。甲方过错/责任（</w:t>
      </w:r>
      <w:r>
        <w:rPr>
          <w:rFonts w:hint="eastAsia" w:ascii="宋体" w:cs="宋体"/>
        </w:rPr>
        <w:t>以产品技术手册内指标为标准</w:t>
      </w:r>
      <w:r>
        <w:rPr>
          <w:rFonts w:hint="eastAsia" w:ascii="Arial" w:hAnsi="Arial" w:cs="Arial"/>
          <w:bCs/>
        </w:rPr>
        <w:t>）而造成的问题，乙方有权拒绝退换。</w:t>
      </w:r>
    </w:p>
    <w:p>
      <w:pPr>
        <w:numPr>
          <w:ilvl w:val="0"/>
          <w:numId w:val="2"/>
        </w:numPr>
        <w:spacing w:line="360" w:lineRule="auto"/>
        <w:rPr>
          <w:rFonts w:ascii="宋体"/>
        </w:rPr>
      </w:pPr>
      <w:r>
        <w:rPr>
          <w:rFonts w:hint="eastAsia"/>
        </w:rPr>
        <w:t>质保期内，甲方在发现乙方提供的产品出现严重缺陷后，应</w:t>
      </w:r>
      <w:r>
        <w:rPr>
          <w:rFonts w:hint="eastAsia" w:ascii="宋体" w:cs="宋体"/>
        </w:rPr>
        <w:t>5个工作日内向乙方提出书面</w:t>
      </w:r>
      <w:r>
        <w:rPr>
          <w:rFonts w:hint="eastAsia"/>
        </w:rPr>
        <w:t>缺陷通知，乙方应在收到甲方发出的缺陷通知的24小时内答复并在双方协商的时间内通过更换或修复等方式弥补缺陷，免费提供更换或修复的产品，或提出甲方接受的弥补方案。因缺陷而补充、更换或修复的产品质保期应顺期延长。</w:t>
      </w:r>
    </w:p>
    <w:p>
      <w:pPr>
        <w:pStyle w:val="18"/>
        <w:numPr>
          <w:ilvl w:val="0"/>
          <w:numId w:val="1"/>
        </w:numPr>
        <w:spacing w:line="360" w:lineRule="auto"/>
        <w:ind w:firstLineChars="0"/>
        <w:rPr>
          <w:rFonts w:ascii="宋体"/>
          <w:b/>
          <w:bCs/>
        </w:rPr>
      </w:pPr>
      <w:r>
        <w:rPr>
          <w:rFonts w:hint="eastAsia" w:ascii="宋体" w:cs="宋体"/>
          <w:b/>
          <w:bCs/>
        </w:rPr>
        <w:t>付款方式及结算方式</w:t>
      </w:r>
    </w:p>
    <w:p>
      <w:pPr>
        <w:numPr>
          <w:ilvl w:val="0"/>
          <w:numId w:val="3"/>
        </w:numPr>
        <w:spacing w:line="360" w:lineRule="auto"/>
        <w:rPr>
          <w:rFonts w:ascii="宋体"/>
        </w:rPr>
      </w:pPr>
      <w:r>
        <w:rPr>
          <w:rFonts w:hint="eastAsia"/>
        </w:rPr>
        <w:t>合同价格含以下费用：运费、装卸费、包装费、保险费、增值税专用发票等费用。</w:t>
      </w:r>
    </w:p>
    <w:p>
      <w:pPr>
        <w:numPr>
          <w:ilvl w:val="0"/>
          <w:numId w:val="3"/>
        </w:numPr>
        <w:spacing w:line="360" w:lineRule="auto"/>
        <w:rPr>
          <w:rFonts w:ascii="宋体"/>
        </w:rPr>
      </w:pPr>
      <w:r>
        <w:rPr>
          <w:rFonts w:hint="eastAsia" w:ascii="宋体" w:cs="宋体"/>
        </w:rPr>
        <w:t>按双方公司约定结帐</w:t>
      </w:r>
      <w:r>
        <w:rPr>
          <w:rFonts w:hint="eastAsia" w:ascii="宋体" w:cs="宋体"/>
          <w:lang w:val="en-US" w:eastAsia="zh-CN"/>
        </w:rPr>
        <w:t>，货到票到三个月</w:t>
      </w:r>
      <w:r>
        <w:rPr>
          <w:rFonts w:hint="eastAsia" w:ascii="宋体" w:cs="宋体"/>
        </w:rPr>
        <w:t>。</w:t>
      </w:r>
    </w:p>
    <w:p>
      <w:pPr>
        <w:numPr>
          <w:ilvl w:val="0"/>
          <w:numId w:val="3"/>
        </w:numPr>
        <w:spacing w:line="360" w:lineRule="auto"/>
        <w:rPr>
          <w:rFonts w:ascii="宋体"/>
        </w:rPr>
      </w:pPr>
      <w:r>
        <w:rPr>
          <w:rFonts w:hint="eastAsia" w:ascii="宋体" w:cs="宋体"/>
        </w:rPr>
        <w:t>乙方须向甲方提供增值税专用发票。</w:t>
      </w:r>
    </w:p>
    <w:p>
      <w:pPr>
        <w:numPr>
          <w:ilvl w:val="0"/>
          <w:numId w:val="3"/>
        </w:numPr>
        <w:spacing w:line="360" w:lineRule="auto"/>
        <w:rPr>
          <w:rFonts w:ascii="宋体"/>
        </w:rPr>
      </w:pPr>
      <w:r>
        <w:rPr>
          <w:rFonts w:hint="eastAsia" w:ascii="宋体" w:cs="宋体"/>
        </w:rPr>
        <w:t>甲乙双方均有义务积极配合另一方对购销账目进行核对，购销账目必须在付款日之前核对清楚准确；任何一方发现存在账目不清、货款数额不对、收（付）款人信息与合同不一致等问题，都应主动沟通，积极解决。</w:t>
      </w:r>
    </w:p>
    <w:p>
      <w:pPr>
        <w:pStyle w:val="18"/>
        <w:numPr>
          <w:ilvl w:val="0"/>
          <w:numId w:val="1"/>
        </w:numPr>
        <w:spacing w:line="360" w:lineRule="auto"/>
        <w:ind w:firstLineChars="0"/>
        <w:rPr>
          <w:rFonts w:ascii="宋体" w:cs="宋体"/>
          <w:b/>
          <w:bCs/>
        </w:rPr>
      </w:pPr>
      <w:r>
        <w:rPr>
          <w:rFonts w:hint="eastAsia" w:ascii="宋体" w:cs="宋体"/>
          <w:b/>
          <w:bCs/>
        </w:rPr>
        <w:t>运输及交付方式</w:t>
      </w:r>
    </w:p>
    <w:p>
      <w:pPr>
        <w:numPr>
          <w:ilvl w:val="0"/>
          <w:numId w:val="4"/>
        </w:numPr>
        <w:spacing w:line="360" w:lineRule="auto"/>
        <w:rPr>
          <w:rFonts w:ascii="宋体"/>
        </w:rPr>
      </w:pPr>
      <w:r>
        <w:rPr>
          <w:rFonts w:hint="eastAsia" w:ascii="宋体"/>
        </w:rPr>
        <w:t>全部货物(以下称“产品”)的运输由乙方负责运至甲方指定的交货地点。</w:t>
      </w:r>
    </w:p>
    <w:p>
      <w:pPr>
        <w:pStyle w:val="18"/>
        <w:numPr>
          <w:ilvl w:val="0"/>
          <w:numId w:val="4"/>
        </w:numPr>
        <w:spacing w:line="360" w:lineRule="auto"/>
        <w:ind w:firstLineChars="0"/>
      </w:pPr>
      <w:r>
        <w:rPr>
          <w:rFonts w:hint="eastAsia" w:ascii="宋体"/>
        </w:rPr>
        <w:t>全部产品在运输过程中的的质量、风险及安全责任由乙方负责。若产品因生产过程和运输过程中质量问题需要退货返修的，由此产生的运输费用、报废费用、开箱、检测、测试、包装、入库以及其他所有费用由乙方承担；若由甲方处理，甲方有权在未付货款中扣除相应金额或要求乙方返还相应金额已付货款。</w:t>
      </w:r>
      <w:r>
        <w:rPr>
          <w:rFonts w:hint="eastAsia"/>
        </w:rPr>
        <w:t>产品包装应适合长途运输，具有良好的防潮、防湿、防震、防撞击、防锈、防腐蚀等保护措施以确保产品可以安全运抵而不致受损。</w:t>
      </w:r>
    </w:p>
    <w:p>
      <w:pPr>
        <w:pStyle w:val="18"/>
        <w:numPr>
          <w:ilvl w:val="0"/>
          <w:numId w:val="4"/>
        </w:numPr>
        <w:spacing w:line="360" w:lineRule="auto"/>
        <w:ind w:firstLineChars="0"/>
      </w:pPr>
      <w:r>
        <w:rPr>
          <w:rFonts w:hint="eastAsia"/>
        </w:rPr>
        <w:t>乙方所采用的包装箱以及填充物要符合环保要求，不得采用脏污，破损，异味的包装和填充材料，否则甲方有权拒收。</w:t>
      </w:r>
    </w:p>
    <w:p>
      <w:pPr>
        <w:pStyle w:val="18"/>
        <w:numPr>
          <w:ilvl w:val="0"/>
          <w:numId w:val="4"/>
        </w:numPr>
        <w:spacing w:line="360" w:lineRule="auto"/>
        <w:ind w:firstLineChars="0"/>
      </w:pPr>
      <w:r>
        <w:rPr>
          <w:rFonts w:hint="eastAsia"/>
        </w:rPr>
        <w:t>乙方应在包装箱明显处标注醒目标记：如合同编号、收货公司名称、箱号、品名、尺寸、毛净重、起吊位置，以及必要的勿倒置、保持干燥、易燃、易碎等其他应标记内容。</w:t>
      </w:r>
    </w:p>
    <w:p>
      <w:pPr>
        <w:numPr>
          <w:ilvl w:val="0"/>
          <w:numId w:val="4"/>
        </w:numPr>
        <w:spacing w:line="360" w:lineRule="auto"/>
      </w:pPr>
      <w:r>
        <w:rPr>
          <w:rFonts w:hint="eastAsia"/>
        </w:rPr>
        <w:t>每件包装箱内应附一份详细送货清单(内含合同编号、产品名称和/或甲方的产品物料编号、产品规格和产品</w:t>
      </w:r>
      <w:r>
        <w:t>数量</w:t>
      </w:r>
      <w:r>
        <w:rPr>
          <w:rFonts w:hint="eastAsia"/>
        </w:rPr>
        <w:t>)、合格证或检验报告等信息，使用维修手册及相关技术资料等。</w:t>
      </w:r>
    </w:p>
    <w:p>
      <w:pPr>
        <w:numPr>
          <w:ilvl w:val="0"/>
          <w:numId w:val="4"/>
        </w:numPr>
        <w:spacing w:line="360" w:lineRule="auto"/>
      </w:pPr>
      <w:r>
        <w:rPr>
          <w:rFonts w:hint="eastAsia"/>
        </w:rPr>
        <w:t>由于产品包装不当或标记不明而引起产品的损坏或损失，均由乙方自行负责。</w:t>
      </w:r>
    </w:p>
    <w:p>
      <w:pPr>
        <w:pStyle w:val="18"/>
        <w:numPr>
          <w:ilvl w:val="0"/>
          <w:numId w:val="1"/>
        </w:numPr>
        <w:spacing w:line="360" w:lineRule="auto"/>
        <w:ind w:firstLineChars="0"/>
        <w:rPr>
          <w:rFonts w:ascii="宋体"/>
          <w:b/>
        </w:rPr>
      </w:pPr>
      <w:r>
        <w:rPr>
          <w:rFonts w:hint="eastAsia" w:ascii="宋体"/>
          <w:b/>
        </w:rPr>
        <w:t>验收方式</w:t>
      </w:r>
    </w:p>
    <w:p>
      <w:pPr>
        <w:numPr>
          <w:ilvl w:val="0"/>
          <w:numId w:val="5"/>
        </w:numPr>
        <w:tabs>
          <w:tab w:val="left" w:pos="0"/>
        </w:tabs>
        <w:spacing w:line="360" w:lineRule="auto"/>
        <w:rPr>
          <w:rFonts w:hint="eastAsia" w:ascii="宋体"/>
          <w:sz w:val="18"/>
          <w:szCs w:val="18"/>
        </w:rPr>
      </w:pPr>
      <w:r>
        <w:rPr>
          <w:rFonts w:hint="eastAsia" w:ascii="宋体" w:cs="宋体"/>
        </w:rPr>
        <w:t>甲方在货到验收时，若发现货物的品种、型号和质量不合规定或约定，自发现之日起 5 个工作日内向乙方提出书面异议；由于甲方对</w:t>
      </w:r>
      <w:r>
        <w:rPr>
          <w:rFonts w:hint="eastAsia" w:ascii="宋体"/>
        </w:rPr>
        <w:t>产品</w:t>
      </w:r>
      <w:r>
        <w:rPr>
          <w:rFonts w:hint="eastAsia" w:ascii="宋体" w:cs="宋体"/>
        </w:rPr>
        <w:t>品质的某些检验不可能立刻进行，故乙方允许甲方发现不良品的期限最长不超过二个月</w:t>
      </w:r>
      <w:r>
        <w:rPr>
          <w:rFonts w:hint="eastAsia" w:ascii="宋体" w:cs="宋体"/>
          <w:sz w:val="18"/>
          <w:szCs w:val="18"/>
        </w:rPr>
        <w:t>。</w:t>
      </w:r>
    </w:p>
    <w:p>
      <w:pPr>
        <w:numPr>
          <w:ilvl w:val="0"/>
          <w:numId w:val="5"/>
        </w:numPr>
        <w:tabs>
          <w:tab w:val="left" w:pos="0"/>
        </w:tabs>
        <w:spacing w:line="360" w:lineRule="auto"/>
        <w:rPr>
          <w:rFonts w:hint="eastAsia" w:ascii="宋体"/>
          <w:sz w:val="18"/>
          <w:szCs w:val="18"/>
        </w:rPr>
      </w:pPr>
      <w:r>
        <w:rPr>
          <w:rFonts w:hint="eastAsia" w:ascii="宋体" w:cs="宋体"/>
        </w:rPr>
        <w:t>乙方承认必要且符合技术指标的测试手段（包括但不限于拷机、交变湿热环境、耐压测试等）为甲方合理验收手段，未通过符合技术指标测试的不良品乙方须负责退换；同一批次不良品率超过3%，甲方有权利按超过3%的部分百分比的10%扣除货款作为罚金（即若不良品率为5%,甲方有权利扣除0.2%货款）；超过技术指标的破坏性极限测试造成产品损坏的乙方不负责任。</w:t>
      </w:r>
    </w:p>
    <w:p>
      <w:pPr>
        <w:numPr>
          <w:ilvl w:val="0"/>
          <w:numId w:val="5"/>
        </w:numPr>
        <w:tabs>
          <w:tab w:val="left" w:pos="0"/>
        </w:tabs>
        <w:spacing w:line="360" w:lineRule="auto"/>
        <w:rPr>
          <w:rFonts w:ascii="宋体"/>
          <w:sz w:val="18"/>
          <w:szCs w:val="18"/>
        </w:rPr>
      </w:pPr>
      <w:r>
        <w:rPr>
          <w:rFonts w:hint="eastAsia" w:ascii="宋体" w:cs="宋体"/>
        </w:rPr>
        <w:t>甲方承诺验收期内妥善保管货物，因甲方保存或使用不当（以产品技术手册内指标为标准）造成的问题，乙方不负责任。</w:t>
      </w:r>
      <w:r>
        <w:rPr>
          <w:rFonts w:ascii="宋体"/>
          <w:sz w:val="18"/>
          <w:szCs w:val="18"/>
        </w:rPr>
        <w:t xml:space="preserve"> </w:t>
      </w:r>
    </w:p>
    <w:p>
      <w:pPr>
        <w:numPr>
          <w:ilvl w:val="0"/>
          <w:numId w:val="5"/>
        </w:numPr>
        <w:tabs>
          <w:tab w:val="left" w:pos="0"/>
        </w:tabs>
        <w:spacing w:line="360" w:lineRule="auto"/>
        <w:rPr>
          <w:rFonts w:ascii="宋体"/>
          <w:sz w:val="18"/>
          <w:szCs w:val="18"/>
        </w:rPr>
      </w:pPr>
      <w:r>
        <w:rPr>
          <w:rFonts w:hint="eastAsia" w:ascii="宋体" w:cs="宋体"/>
        </w:rPr>
        <w:t>如确属验收阶段发现产品的品种、型号和质量不合规定或约定，且甲方要求退换或维修的，乙方须在甲方提出书面异议的</w:t>
      </w:r>
      <w:r>
        <w:rPr>
          <w:rFonts w:ascii="宋体" w:cs="宋体"/>
        </w:rPr>
        <w:t>3</w:t>
      </w:r>
      <w:r>
        <w:rPr>
          <w:rFonts w:hint="eastAsia" w:ascii="宋体" w:cs="宋体"/>
        </w:rPr>
        <w:t>个工作日内负责退换；若双方协商一致交由甲方处理，则甲方有权在货款中扣除相应处理所花费的工时费及物料费的三倍金额作为误工补偿。</w:t>
      </w:r>
    </w:p>
    <w:p>
      <w:pPr>
        <w:pStyle w:val="18"/>
        <w:numPr>
          <w:ilvl w:val="0"/>
          <w:numId w:val="1"/>
        </w:numPr>
        <w:spacing w:line="360" w:lineRule="auto"/>
        <w:ind w:firstLineChars="0"/>
        <w:rPr>
          <w:b/>
        </w:rPr>
      </w:pPr>
      <w:r>
        <w:rPr>
          <w:rFonts w:hint="eastAsia"/>
          <w:b/>
        </w:rPr>
        <w:t>知识产权及责任</w:t>
      </w:r>
    </w:p>
    <w:p>
      <w:pPr>
        <w:numPr>
          <w:ilvl w:val="0"/>
          <w:numId w:val="6"/>
        </w:numPr>
        <w:spacing w:line="360" w:lineRule="auto"/>
      </w:pPr>
      <w:r>
        <w:rPr>
          <w:rFonts w:hint="eastAsia"/>
        </w:rPr>
        <w:t>乙方保证提供产品的知识产权归乙方所有，对于非乙方所有的知识产权的产品，乙方有义务提供证明。</w:t>
      </w:r>
    </w:p>
    <w:p>
      <w:pPr>
        <w:numPr>
          <w:ilvl w:val="0"/>
          <w:numId w:val="6"/>
        </w:numPr>
        <w:spacing w:line="360" w:lineRule="auto"/>
      </w:pPr>
      <w:r>
        <w:rPr>
          <w:rFonts w:hint="eastAsia"/>
        </w:rPr>
        <w:t>乙方保证其向甲方供应的任何产品或其任何部分不侵犯第三方合法的所有权、知识产权及其它权益。如因上述原因，第三方向甲方提起诉讼，乙方有义务协助甲方。</w:t>
      </w:r>
    </w:p>
    <w:p>
      <w:pPr>
        <w:numPr>
          <w:ilvl w:val="0"/>
          <w:numId w:val="6"/>
        </w:numPr>
        <w:tabs>
          <w:tab w:val="left" w:pos="599"/>
        </w:tabs>
        <w:spacing w:line="360" w:lineRule="auto"/>
      </w:pPr>
      <w:r>
        <w:rPr>
          <w:rFonts w:hint="eastAsia"/>
        </w:rPr>
        <w:t>乙方对甲方提供的图纸、工艺方法中所包含的技术方案负有保密责任，乙方按照甲方提供的要求及技术资料、图纸所生产的产品，只能供甲方使用，未</w:t>
      </w:r>
      <w:r>
        <w:rPr>
          <w:rFonts w:hint="eastAsia"/>
          <w:lang w:val="zh-TW"/>
        </w:rPr>
        <w:t>经甲方许可，严禁乙方向除甲方或甲方指定的客户以外的其他客户供货，否则由此产生的一切直接损失和间接损失一律由乙方负责；</w:t>
      </w:r>
      <w:r>
        <w:rPr>
          <w:rFonts w:hint="eastAsia"/>
        </w:rPr>
        <w:t>乙方赔偿甲方不低于私自供货金额10倍或不低于合同金额2倍的罚金（两者取其高）。</w:t>
      </w:r>
    </w:p>
    <w:p>
      <w:pPr>
        <w:numPr>
          <w:ilvl w:val="0"/>
          <w:numId w:val="6"/>
        </w:numPr>
        <w:tabs>
          <w:tab w:val="left" w:pos="599"/>
        </w:tabs>
        <w:spacing w:line="360" w:lineRule="auto"/>
      </w:pPr>
      <w:r>
        <w:rPr>
          <w:rFonts w:hint="eastAsia"/>
        </w:rPr>
        <w:t>乙方根据甲方提供的技术资料、图纸及技术信息开发研制的产品，其知识产权归甲方所有，不得将技术方案和相关资料泄露给第三方；若因此造成损失，甲方有权向乙方追索与相应损失相等的金额赔偿，并要求赔偿不低于合同额2倍的罚金。</w:t>
      </w:r>
    </w:p>
    <w:p>
      <w:pPr>
        <w:numPr>
          <w:ilvl w:val="0"/>
          <w:numId w:val="6"/>
        </w:numPr>
        <w:spacing w:line="360" w:lineRule="auto"/>
      </w:pPr>
      <w:r>
        <w:rPr>
          <w:rFonts w:hint="eastAsia"/>
        </w:rPr>
        <w:t>双方应对本合同履行过程中所知悉的对方的知识产权、商业秘密、技术成果、经营计划和战略、客户信息及其它信息承担保密义务。未经对方书面同意，不得向社会公众或第三方通过任何途径出示、泄露，不得对上述信息进行复制、传播和销售。否则给对方造成损失的，双方协商解决。本条所约定的双方承担保密义务在本合同履行完毕内10年有效。</w:t>
      </w:r>
    </w:p>
    <w:p>
      <w:pPr>
        <w:pStyle w:val="18"/>
        <w:numPr>
          <w:ilvl w:val="0"/>
          <w:numId w:val="1"/>
        </w:numPr>
        <w:spacing w:line="360" w:lineRule="auto"/>
        <w:ind w:firstLineChars="0"/>
        <w:rPr>
          <w:rFonts w:ascii="宋体" w:cs="宋体"/>
          <w:b/>
          <w:bCs/>
        </w:rPr>
      </w:pPr>
      <w:r>
        <w:rPr>
          <w:rFonts w:hint="eastAsia" w:ascii="宋体" w:cs="宋体"/>
          <w:b/>
          <w:bCs/>
        </w:rPr>
        <w:t>违约责任及处理方式</w:t>
      </w:r>
    </w:p>
    <w:p>
      <w:pPr>
        <w:pStyle w:val="18"/>
        <w:numPr>
          <w:ilvl w:val="3"/>
          <w:numId w:val="4"/>
        </w:numPr>
        <w:spacing w:line="360" w:lineRule="auto"/>
        <w:ind w:firstLineChars="0"/>
        <w:rPr>
          <w:rFonts w:ascii="宋体" w:cs="宋体"/>
        </w:rPr>
      </w:pPr>
      <w:r>
        <w:rPr>
          <w:rFonts w:hint="eastAsia" w:ascii="宋体" w:cs="宋体"/>
        </w:rPr>
        <w:t>乙方不履行合同义务或者合同履行义务不符合约定的，应当承担继续履行、采取补救措施。</w:t>
      </w:r>
    </w:p>
    <w:p>
      <w:pPr>
        <w:pStyle w:val="18"/>
        <w:numPr>
          <w:ilvl w:val="3"/>
          <w:numId w:val="4"/>
        </w:numPr>
        <w:spacing w:line="360" w:lineRule="auto"/>
        <w:ind w:firstLineChars="0"/>
        <w:rPr>
          <w:rFonts w:ascii="宋体" w:cs="宋体"/>
        </w:rPr>
      </w:pPr>
      <w:r>
        <w:rPr>
          <w:rFonts w:hint="eastAsia" w:ascii="宋体" w:cs="宋体"/>
        </w:rPr>
        <w:t>若非甲方原因，乙方单方面毁约拒绝履行合同，</w:t>
      </w:r>
      <w:r>
        <w:rPr>
          <w:rFonts w:ascii="宋体" w:cs="宋体"/>
          <w:lang w:val="zh-TW"/>
        </w:rPr>
        <w:t>乙方应退回甲方所付的</w:t>
      </w:r>
      <w:r>
        <w:rPr>
          <w:rFonts w:hint="eastAsia" w:ascii="宋体" w:cs="宋体"/>
          <w:lang w:val="zh-TW"/>
        </w:rPr>
        <w:t>货</w:t>
      </w:r>
      <w:r>
        <w:rPr>
          <w:rFonts w:ascii="宋体" w:cs="宋体"/>
          <w:lang w:val="zh-TW"/>
        </w:rPr>
        <w:t>款</w:t>
      </w:r>
      <w:r>
        <w:rPr>
          <w:rFonts w:hint="eastAsia" w:ascii="宋体" w:cs="宋体"/>
          <w:lang w:val="zh-TW"/>
        </w:rPr>
        <w:t>，</w:t>
      </w:r>
      <w:r>
        <w:rPr>
          <w:rFonts w:hint="eastAsia" w:ascii="宋体" w:cs="宋体"/>
        </w:rPr>
        <w:t>并赔偿不低于合同额50%的误工费</w:t>
      </w:r>
      <w:r>
        <w:rPr>
          <w:rFonts w:ascii="宋体" w:cs="宋体"/>
        </w:rPr>
        <w:t>。</w:t>
      </w:r>
    </w:p>
    <w:p>
      <w:pPr>
        <w:pStyle w:val="18"/>
        <w:numPr>
          <w:ilvl w:val="3"/>
          <w:numId w:val="4"/>
        </w:numPr>
        <w:spacing w:line="360" w:lineRule="auto"/>
        <w:ind w:firstLineChars="0"/>
        <w:rPr>
          <w:rFonts w:ascii="宋体" w:cs="宋体"/>
        </w:rPr>
      </w:pPr>
      <w:r>
        <w:rPr>
          <w:rFonts w:hint="eastAsia"/>
        </w:rPr>
        <w:t>若双方无法协商一致，且乙方不能在货期2倍时间内完成不合格产品的返修和更换，则甲方有权退货。</w:t>
      </w:r>
    </w:p>
    <w:p>
      <w:pPr>
        <w:pStyle w:val="18"/>
        <w:numPr>
          <w:ilvl w:val="3"/>
          <w:numId w:val="4"/>
        </w:numPr>
        <w:spacing w:line="360" w:lineRule="auto"/>
        <w:ind w:firstLineChars="0"/>
        <w:rPr>
          <w:rFonts w:ascii="宋体" w:cs="宋体"/>
        </w:rPr>
      </w:pPr>
      <w:r>
        <w:rPr>
          <w:rFonts w:hint="eastAsia" w:ascii="宋体" w:cs="宋体"/>
        </w:rPr>
        <w:t xml:space="preserve">乙方保证其用于给甲方的产品及为履行本合同所为的任何行为，均不侵犯任何人的合法权益。如由此发生第三方向甲方提起索赔或诉讼仲裁，由乙方负责解决，并由乙方最终承担因此发生的全部费用和该案最终判决、裁决或和解而支付的赔偿金、补偿金等款项，乙方还应赔偿甲方因此而受到的其他一切损失，包括但不限于甲方支付的律师费及代为支付的赔偿金、诉讼费等费用。 </w:t>
      </w:r>
    </w:p>
    <w:p>
      <w:pPr>
        <w:pStyle w:val="18"/>
        <w:numPr>
          <w:ilvl w:val="3"/>
          <w:numId w:val="4"/>
        </w:numPr>
        <w:spacing w:line="360" w:lineRule="auto"/>
        <w:ind w:firstLineChars="0"/>
        <w:rPr>
          <w:rFonts w:ascii="宋体" w:cs="宋体"/>
        </w:rPr>
      </w:pPr>
      <w:r>
        <w:rPr>
          <w:rFonts w:hint="eastAsia" w:ascii="宋体" w:cs="宋体"/>
        </w:rPr>
        <w:t>因</w:t>
      </w:r>
      <w:r>
        <w:rPr>
          <w:rFonts w:hint="eastAsia" w:ascii="宋体"/>
        </w:rPr>
        <w:t>产品本身</w:t>
      </w:r>
      <w:r>
        <w:rPr>
          <w:rFonts w:hint="eastAsia" w:ascii="宋体" w:cs="宋体"/>
        </w:rPr>
        <w:t>存在缺陷在使用过程中造成甲方或第三方人身、财产损害的，乙方应承担全部赔偿责任，赔偿损失；因</w:t>
      </w:r>
      <w:r>
        <w:rPr>
          <w:rFonts w:hint="eastAsia" w:ascii="Arial" w:hAnsi="Arial" w:cs="Arial"/>
          <w:bCs/>
        </w:rPr>
        <w:t>甲方过错/使用不当而造成的问题，乙方不负责任。</w:t>
      </w:r>
    </w:p>
    <w:p>
      <w:pPr>
        <w:pStyle w:val="18"/>
        <w:numPr>
          <w:ilvl w:val="3"/>
          <w:numId w:val="4"/>
        </w:numPr>
        <w:spacing w:line="360" w:lineRule="auto"/>
        <w:ind w:firstLineChars="0"/>
        <w:rPr>
          <w:rFonts w:ascii="宋体" w:cs="宋体"/>
        </w:rPr>
      </w:pPr>
      <w:r>
        <w:rPr>
          <w:rFonts w:hint="eastAsia" w:ascii="宋体" w:cs="宋体"/>
        </w:rPr>
        <w:t>乙方在保质保量的前提下按期交货；超过约定交货时间3天，第4天起，每逾期1天，按合同总额0.3%扣罚，</w:t>
      </w:r>
      <w:r>
        <w:rPr>
          <w:rFonts w:hint="eastAsia"/>
        </w:rPr>
        <w:t>但不超过总金额的10%</w:t>
      </w:r>
      <w:r>
        <w:rPr>
          <w:rFonts w:hint="eastAsia" w:ascii="宋体" w:cs="宋体"/>
        </w:rPr>
        <w:t xml:space="preserve">。  </w:t>
      </w:r>
    </w:p>
    <w:p>
      <w:pPr>
        <w:pStyle w:val="18"/>
        <w:numPr>
          <w:ilvl w:val="3"/>
          <w:numId w:val="4"/>
        </w:numPr>
        <w:spacing w:line="360" w:lineRule="auto"/>
        <w:ind w:firstLineChars="0"/>
        <w:rPr>
          <w:rFonts w:ascii="宋体" w:cs="宋体"/>
        </w:rPr>
      </w:pPr>
      <w:r>
        <w:rPr>
          <w:rFonts w:hint="eastAsia"/>
        </w:rPr>
        <w:t>因产品质量纠纷，双方同意提交甲方所在地第三方机构进行鉴定，鉴定费用由主要责任方承担。</w:t>
      </w:r>
    </w:p>
    <w:p>
      <w:pPr>
        <w:pStyle w:val="18"/>
        <w:numPr>
          <w:ilvl w:val="3"/>
          <w:numId w:val="4"/>
        </w:numPr>
        <w:spacing w:line="360" w:lineRule="auto"/>
        <w:ind w:firstLineChars="0"/>
        <w:rPr>
          <w:rFonts w:ascii="宋体" w:cs="宋体"/>
        </w:rPr>
      </w:pPr>
      <w:r>
        <w:rPr>
          <w:rFonts w:hint="eastAsia"/>
        </w:rPr>
        <w:t>争议解决：因本合同发生争议，双方协商解决：协商不成的，提交合同签署地人民法院诉讼解决。</w:t>
      </w:r>
    </w:p>
    <w:p>
      <w:pPr>
        <w:pStyle w:val="18"/>
        <w:numPr>
          <w:ilvl w:val="3"/>
          <w:numId w:val="4"/>
        </w:numPr>
        <w:spacing w:line="360" w:lineRule="auto"/>
        <w:ind w:firstLineChars="0"/>
        <w:rPr>
          <w:rFonts w:ascii="宋体" w:cs="宋体"/>
        </w:rPr>
      </w:pPr>
      <w:r>
        <w:rPr>
          <w:rFonts w:hint="eastAsia"/>
        </w:rPr>
        <w:t>合同载明的乙方通讯地址和联系方式可作为商业文件信函或法院送达诉讼文书的地址和联系方式，因载明的地址或联系方式有误或乙方未及时告知变更后的地址及联系方式，导致商业文件信函或诉讼文书未能实际被接收的，邮寄送达的，文书退回之日即视为送达之日。</w:t>
      </w:r>
    </w:p>
    <w:p>
      <w:pPr>
        <w:pStyle w:val="18"/>
        <w:numPr>
          <w:ilvl w:val="0"/>
          <w:numId w:val="1"/>
        </w:numPr>
        <w:spacing w:line="360" w:lineRule="auto"/>
        <w:ind w:firstLineChars="0"/>
        <w:rPr>
          <w:rFonts w:ascii="宋体" w:cs="宋体"/>
          <w:b/>
          <w:bCs/>
        </w:rPr>
      </w:pPr>
      <w:r>
        <w:rPr>
          <w:rFonts w:hint="eastAsia" w:ascii="宋体" w:cs="宋体"/>
          <w:b/>
          <w:bCs/>
        </w:rPr>
        <w:t>其他约定事项</w:t>
      </w:r>
    </w:p>
    <w:p>
      <w:pPr>
        <w:numPr>
          <w:ilvl w:val="0"/>
          <w:numId w:val="7"/>
        </w:numPr>
        <w:spacing w:line="360" w:lineRule="auto"/>
        <w:rPr>
          <w:rFonts w:ascii="宋体"/>
        </w:rPr>
      </w:pPr>
      <w:r>
        <w:rPr>
          <w:rFonts w:hint="eastAsia" w:ascii="宋体" w:cs="宋体"/>
        </w:rPr>
        <w:t>合同需经双方签字盖章，传真件与原件视为同等效力，合同生效以传真件上的合同签订时间为准。</w:t>
      </w:r>
    </w:p>
    <w:p>
      <w:pPr>
        <w:numPr>
          <w:ilvl w:val="0"/>
          <w:numId w:val="7"/>
        </w:numPr>
        <w:spacing w:line="360" w:lineRule="auto"/>
        <w:rPr>
          <w:rFonts w:ascii="宋体"/>
        </w:rPr>
      </w:pPr>
      <w:r>
        <w:rPr>
          <w:rFonts w:hint="eastAsia" w:ascii="宋体" w:cs="宋体"/>
        </w:rPr>
        <w:t>本合同一式二份，具有同等效力，双方各执一份，涂改无效。</w:t>
      </w:r>
    </w:p>
    <w:p>
      <w:pPr>
        <w:numPr>
          <w:ilvl w:val="0"/>
          <w:numId w:val="7"/>
        </w:numPr>
        <w:spacing w:line="360" w:lineRule="auto"/>
        <w:rPr>
          <w:rFonts w:ascii="宋体"/>
        </w:rPr>
      </w:pPr>
      <w:r>
        <w:rPr>
          <w:rFonts w:hint="eastAsia"/>
        </w:rPr>
        <w:t>本合同若包含附件，附件是本合同的重要组成部分，与本合同具有同等法律效力。</w:t>
      </w:r>
    </w:p>
    <w:tbl>
      <w:tblPr>
        <w:tblStyle w:val="7"/>
        <w:tblpPr w:leftFromText="180" w:rightFromText="180" w:vertAnchor="text" w:horzAnchor="page" w:tblpX="1365" w:tblpY="502"/>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4"/>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44" w:type="dxa"/>
            <w:vAlign w:val="center"/>
          </w:tcPr>
          <w:p>
            <w:pPr>
              <w:spacing w:line="360" w:lineRule="auto"/>
              <w:jc w:val="center"/>
            </w:pPr>
            <w:r>
              <w:rPr>
                <w:rFonts w:hint="eastAsia" w:cs="宋体"/>
              </w:rPr>
              <w:t>订货方（甲方）</w:t>
            </w:r>
          </w:p>
        </w:tc>
        <w:tc>
          <w:tcPr>
            <w:tcW w:w="5415" w:type="dxa"/>
            <w:vAlign w:val="center"/>
          </w:tcPr>
          <w:p>
            <w:pPr>
              <w:spacing w:line="360" w:lineRule="auto"/>
              <w:jc w:val="center"/>
            </w:pPr>
            <w:r>
              <w:rPr>
                <w:rFonts w:hint="eastAsia" w:cs="宋体"/>
              </w:rPr>
              <w:t>供货方（乙方）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44" w:type="dxa"/>
          </w:tcPr>
          <w:p>
            <w:pPr>
              <w:spacing w:line="360" w:lineRule="auto"/>
              <w:ind w:left="1365" w:hanging="1365" w:hangingChars="650"/>
            </w:pPr>
            <w:r>
              <w:rPr>
                <w:rFonts w:hint="eastAsia"/>
              </w:rPr>
              <w:t>单位名称(章)：北京</w:t>
            </w:r>
            <w:r>
              <w:rPr>
                <w:rFonts w:hint="eastAsia"/>
                <w:lang w:val="en-US" w:eastAsia="zh-CN"/>
              </w:rPr>
              <w:t>诺信泰伺服</w:t>
            </w:r>
            <w:r>
              <w:rPr>
                <w:rFonts w:hint="eastAsia"/>
              </w:rPr>
              <w:t>科技有限公司</w:t>
            </w:r>
          </w:p>
        </w:tc>
        <w:tc>
          <w:tcPr>
            <w:tcW w:w="5415" w:type="dxa"/>
          </w:tcPr>
          <w:p>
            <w:pPr>
              <w:spacing w:line="360" w:lineRule="auto"/>
              <w:rPr>
                <w:rFonts w:hint="default" w:eastAsia="宋体"/>
                <w:lang w:val="en-US" w:eastAsia="zh-CN"/>
              </w:rPr>
            </w:pPr>
            <w:r>
              <w:rPr>
                <w:rFonts w:hint="eastAsia" w:cs="宋体"/>
              </w:rPr>
              <w:t>单位名称</w:t>
            </w:r>
            <w:r>
              <w:t>(</w:t>
            </w:r>
            <w:r>
              <w:rPr>
                <w:rFonts w:hint="eastAsia" w:cs="宋体"/>
              </w:rPr>
              <w:t>章</w:t>
            </w:r>
            <w:r>
              <w:t>)</w:t>
            </w:r>
            <w:r>
              <w:rPr>
                <w:rFonts w:hint="eastAsia" w:cs="宋体"/>
              </w:rPr>
              <w:t>：</w:t>
            </w:r>
            <w:r>
              <w:t xml:space="preserve"> </w:t>
            </w:r>
            <w:r>
              <w:rPr>
                <w:rFonts w:hint="eastAsia"/>
                <w:lang w:val="en-US" w:eastAsia="zh-CN"/>
              </w:rPr>
              <w:t>北京智芯龙悦科技有限公司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4944" w:type="dxa"/>
          </w:tcPr>
          <w:p>
            <w:pPr>
              <w:spacing w:line="360" w:lineRule="auto"/>
              <w:ind w:left="1050" w:hanging="1050" w:hangingChars="500"/>
            </w:pPr>
            <w:r>
              <w:rPr>
                <w:rFonts w:hint="eastAsia"/>
              </w:rPr>
              <w:t>单位地址：北京市通州区马驹桥镇联东U谷西区11B</w:t>
            </w:r>
          </w:p>
          <w:p>
            <w:pPr>
              <w:spacing w:line="360" w:lineRule="auto"/>
            </w:pPr>
            <w:r>
              <w:rPr>
                <w:rFonts w:hint="eastAsia"/>
              </w:rPr>
              <w:t>代表：</w:t>
            </w:r>
          </w:p>
          <w:p>
            <w:pPr>
              <w:spacing w:line="360" w:lineRule="auto"/>
            </w:pPr>
            <w:r>
              <w:rPr>
                <w:rFonts w:hint="eastAsia"/>
              </w:rPr>
              <w:t>电话：010-68467390</w:t>
            </w:r>
          </w:p>
          <w:p>
            <w:pPr>
              <w:spacing w:line="360" w:lineRule="auto"/>
            </w:pPr>
            <w:r>
              <w:rPr>
                <w:rFonts w:hint="eastAsia"/>
              </w:rPr>
              <w:t>传  真：</w:t>
            </w:r>
          </w:p>
          <w:p>
            <w:pPr>
              <w:spacing w:line="360" w:lineRule="auto"/>
              <w:rPr>
                <w:bCs/>
                <w:szCs w:val="52"/>
              </w:rPr>
            </w:pPr>
            <w:r>
              <w:rPr>
                <w:rFonts w:hint="eastAsia"/>
                <w:bCs/>
                <w:szCs w:val="52"/>
              </w:rPr>
              <w:t>税务登记号：911101086932146841</w:t>
            </w:r>
          </w:p>
          <w:p>
            <w:pPr>
              <w:spacing w:line="360" w:lineRule="auto"/>
              <w:rPr>
                <w:rFonts w:hint="eastAsia"/>
                <w:bCs/>
                <w:szCs w:val="52"/>
              </w:rPr>
            </w:pPr>
            <w:r>
              <w:rPr>
                <w:rFonts w:hint="eastAsia"/>
                <w:bCs/>
                <w:szCs w:val="52"/>
              </w:rPr>
              <w:t>账号：110906624910301</w:t>
            </w:r>
          </w:p>
          <w:p>
            <w:pPr>
              <w:spacing w:line="360" w:lineRule="auto"/>
              <w:rPr>
                <w:bCs/>
                <w:szCs w:val="52"/>
              </w:rPr>
            </w:pPr>
            <w:r>
              <w:rPr>
                <w:rFonts w:hint="eastAsia"/>
                <w:bCs/>
                <w:szCs w:val="52"/>
              </w:rPr>
              <w:t>开户行：招商银行北京双榆树支行</w:t>
            </w:r>
          </w:p>
          <w:p>
            <w:pPr>
              <w:spacing w:line="360" w:lineRule="auto"/>
            </w:pPr>
            <w:r>
              <w:rPr>
                <w:rFonts w:hint="eastAsia"/>
                <w:bCs/>
                <w:szCs w:val="52"/>
              </w:rPr>
              <w:t>开票地址：北京市海淀区中关村南大街5号683号楼理工科技大厦0277室</w:t>
            </w:r>
          </w:p>
        </w:tc>
        <w:tc>
          <w:tcPr>
            <w:tcW w:w="5415" w:type="dxa"/>
          </w:tcPr>
          <w:p>
            <w:pPr>
              <w:spacing w:line="360" w:lineRule="auto"/>
              <w:ind w:left="1050" w:hanging="1050" w:hangingChars="500"/>
              <w:rPr>
                <w:rFonts w:hint="eastAsia"/>
              </w:rPr>
            </w:pPr>
            <w:r>
              <w:rPr>
                <w:rFonts w:hint="eastAsia"/>
              </w:rPr>
              <w:t xml:space="preserve">单位地址： </w:t>
            </w:r>
          </w:p>
          <w:p>
            <w:pPr>
              <w:spacing w:line="360" w:lineRule="auto"/>
              <w:ind w:left="1050" w:hanging="1050" w:hangingChars="500"/>
              <w:rPr>
                <w:rFonts w:hint="default"/>
                <w:lang w:val="en-US"/>
              </w:rPr>
            </w:pPr>
            <w:r>
              <w:rPr>
                <w:rFonts w:hint="eastAsia"/>
              </w:rPr>
              <w:t>联系人：</w:t>
            </w:r>
            <w:r>
              <w:rPr>
                <w:rFonts w:hint="eastAsia"/>
                <w:lang w:val="en-US" w:eastAsia="zh-CN"/>
              </w:rPr>
              <w:t xml:space="preserve">高西文 </w:t>
            </w:r>
            <w:bookmarkStart w:id="0" w:name="_GoBack"/>
            <w:bookmarkEnd w:id="0"/>
          </w:p>
          <w:p>
            <w:pPr>
              <w:spacing w:line="360" w:lineRule="auto"/>
              <w:ind w:left="1050" w:hanging="1050" w:hangingChars="500"/>
              <w:rPr>
                <w:rFonts w:hint="eastAsia"/>
              </w:rPr>
            </w:pPr>
          </w:p>
          <w:p>
            <w:pPr>
              <w:spacing w:line="360" w:lineRule="auto"/>
              <w:ind w:left="1050" w:hanging="1050" w:hangingChars="500"/>
              <w:rPr>
                <w:rFonts w:hint="eastAsia"/>
              </w:rPr>
            </w:pPr>
            <w:r>
              <w:rPr>
                <w:rFonts w:hint="eastAsia"/>
              </w:rPr>
              <w:t xml:space="preserve">开户行： </w:t>
            </w:r>
          </w:p>
          <w:p>
            <w:pPr>
              <w:spacing w:line="360" w:lineRule="auto"/>
              <w:ind w:left="1050" w:hanging="1050" w:hangingChars="500"/>
            </w:pPr>
            <w:r>
              <w:rPr>
                <w:rFonts w:hint="eastAsia"/>
              </w:rPr>
              <w:t>账  号：</w:t>
            </w:r>
          </w:p>
        </w:tc>
      </w:tr>
    </w:tbl>
    <w:p>
      <w:pPr>
        <w:numPr>
          <w:ilvl w:val="0"/>
          <w:numId w:val="7"/>
        </w:numPr>
        <w:spacing w:line="360" w:lineRule="auto"/>
        <w:rPr>
          <w:rFonts w:ascii="宋体"/>
        </w:rPr>
      </w:pPr>
      <w:r>
        <w:rPr>
          <w:rFonts w:hint="eastAsia" w:ascii="宋体" w:cs="宋体"/>
        </w:rPr>
        <w:t>其它未尽事宜，双方友好协商解决。</w:t>
      </w:r>
    </w:p>
    <w:p>
      <w:pPr>
        <w:spacing w:line="264" w:lineRule="auto"/>
        <w:rPr>
          <w:rFonts w:ascii="微软雅黑" w:hAnsi="微软雅黑" w:eastAsia="微软雅黑"/>
          <w:color w:val="000000"/>
          <w:sz w:val="19"/>
          <w:szCs w:val="19"/>
          <w:shd w:val="clear" w:color="auto" w:fill="FFEDC4"/>
        </w:rPr>
        <w:sectPr>
          <w:pgSz w:w="11906" w:h="16838"/>
          <w:pgMar w:top="567" w:right="748" w:bottom="567" w:left="1077" w:header="624" w:footer="1440" w:gutter="0"/>
          <w:cols w:space="720" w:num="1"/>
          <w:docGrid w:linePitch="286" w:charSpace="0"/>
        </w:sectPr>
      </w:pPr>
    </w:p>
    <w:p>
      <w:pPr>
        <w:spacing w:line="264" w:lineRule="auto"/>
        <w:rPr>
          <w:rFonts w:ascii="微软雅黑" w:hAnsi="微软雅黑" w:eastAsia="微软雅黑"/>
          <w:color w:val="000000"/>
          <w:sz w:val="19"/>
          <w:szCs w:val="19"/>
          <w:shd w:val="clear" w:color="auto" w:fill="FFEDC4"/>
        </w:rPr>
      </w:pPr>
    </w:p>
    <w:sectPr>
      <w:pgSz w:w="11906" w:h="16838"/>
      <w:pgMar w:top="567" w:right="748" w:bottom="567" w:left="1077" w:header="624" w:footer="144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lvlText w:val="%1、"/>
      <w:lvlJc w:val="left"/>
      <w:pPr>
        <w:tabs>
          <w:tab w:val="left" w:pos="735"/>
        </w:tabs>
        <w:ind w:left="735" w:hanging="315"/>
      </w:pPr>
      <w:rPr>
        <w:rFonts w:hint="eastAsia"/>
      </w:rPr>
    </w:lvl>
  </w:abstractNum>
  <w:abstractNum w:abstractNumId="1">
    <w:nsid w:val="0000000D"/>
    <w:multiLevelType w:val="multilevel"/>
    <w:tmpl w:val="0000000D"/>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F"/>
    <w:multiLevelType w:val="multilevel"/>
    <w:tmpl w:val="0000000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4966510"/>
    <w:multiLevelType w:val="singleLevel"/>
    <w:tmpl w:val="14966510"/>
    <w:lvl w:ilvl="0" w:tentative="0">
      <w:start w:val="1"/>
      <w:numFmt w:val="decimal"/>
      <w:lvlText w:val="%1、"/>
      <w:lvlJc w:val="left"/>
      <w:pPr>
        <w:tabs>
          <w:tab w:val="left" w:pos="735"/>
        </w:tabs>
        <w:ind w:left="735" w:hanging="315"/>
      </w:pPr>
      <w:rPr>
        <w:rFonts w:hint="eastAsia"/>
        <w:b w:val="0"/>
      </w:rPr>
    </w:lvl>
  </w:abstractNum>
  <w:abstractNum w:abstractNumId="4">
    <w:nsid w:val="16864C3A"/>
    <w:multiLevelType w:val="multilevel"/>
    <w:tmpl w:val="16864C3A"/>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846"/>
        </w:tabs>
        <w:ind w:left="846" w:hanging="420"/>
      </w:pPr>
      <w:rPr>
        <w:b w:val="0"/>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75D0CA8"/>
    <w:multiLevelType w:val="multilevel"/>
    <w:tmpl w:val="475D0CA8"/>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895F69"/>
    <w:multiLevelType w:val="singleLevel"/>
    <w:tmpl w:val="6E895F69"/>
    <w:lvl w:ilvl="0" w:tentative="0">
      <w:start w:val="1"/>
      <w:numFmt w:val="decimal"/>
      <w:lvlText w:val="%1、"/>
      <w:lvlJc w:val="left"/>
      <w:pPr>
        <w:tabs>
          <w:tab w:val="left" w:pos="735"/>
        </w:tabs>
        <w:ind w:left="735" w:hanging="315"/>
      </w:pPr>
      <w:rPr>
        <w:rFonts w:hint="eastAsia"/>
        <w:b w:val="0"/>
      </w:rPr>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oNotHyphenateCaps/>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6F"/>
    <w:rsid w:val="00005A2A"/>
    <w:rsid w:val="000103D0"/>
    <w:rsid w:val="00016568"/>
    <w:rsid w:val="00016713"/>
    <w:rsid w:val="00016C79"/>
    <w:rsid w:val="0002597C"/>
    <w:rsid w:val="00026095"/>
    <w:rsid w:val="00026254"/>
    <w:rsid w:val="00027BB4"/>
    <w:rsid w:val="00033716"/>
    <w:rsid w:val="000346AD"/>
    <w:rsid w:val="00043890"/>
    <w:rsid w:val="00052019"/>
    <w:rsid w:val="0005318D"/>
    <w:rsid w:val="00054B86"/>
    <w:rsid w:val="00055A31"/>
    <w:rsid w:val="00083E71"/>
    <w:rsid w:val="00096EB5"/>
    <w:rsid w:val="00097303"/>
    <w:rsid w:val="000B2C92"/>
    <w:rsid w:val="000B5C00"/>
    <w:rsid w:val="000B60F6"/>
    <w:rsid w:val="000B73E7"/>
    <w:rsid w:val="000C1714"/>
    <w:rsid w:val="000C2011"/>
    <w:rsid w:val="000C4B81"/>
    <w:rsid w:val="000D08E7"/>
    <w:rsid w:val="000D5714"/>
    <w:rsid w:val="000E1003"/>
    <w:rsid w:val="000E41AC"/>
    <w:rsid w:val="000F251B"/>
    <w:rsid w:val="000F3F92"/>
    <w:rsid w:val="00100F5E"/>
    <w:rsid w:val="0010285A"/>
    <w:rsid w:val="00103F85"/>
    <w:rsid w:val="001145A1"/>
    <w:rsid w:val="00116D07"/>
    <w:rsid w:val="001218E8"/>
    <w:rsid w:val="00121BD2"/>
    <w:rsid w:val="00127742"/>
    <w:rsid w:val="00127E55"/>
    <w:rsid w:val="00134276"/>
    <w:rsid w:val="00134434"/>
    <w:rsid w:val="00135103"/>
    <w:rsid w:val="00143DC7"/>
    <w:rsid w:val="00165C76"/>
    <w:rsid w:val="00171A52"/>
    <w:rsid w:val="00172A27"/>
    <w:rsid w:val="00176FBB"/>
    <w:rsid w:val="00177607"/>
    <w:rsid w:val="00192E81"/>
    <w:rsid w:val="00197008"/>
    <w:rsid w:val="001C0239"/>
    <w:rsid w:val="001C2D2A"/>
    <w:rsid w:val="001C383C"/>
    <w:rsid w:val="001C47C1"/>
    <w:rsid w:val="001C7C18"/>
    <w:rsid w:val="001D4EAA"/>
    <w:rsid w:val="001F0DC9"/>
    <w:rsid w:val="001F17A2"/>
    <w:rsid w:val="001F19FF"/>
    <w:rsid w:val="001F2BDF"/>
    <w:rsid w:val="001F3636"/>
    <w:rsid w:val="002033B3"/>
    <w:rsid w:val="00203820"/>
    <w:rsid w:val="00205E09"/>
    <w:rsid w:val="002107AA"/>
    <w:rsid w:val="00211044"/>
    <w:rsid w:val="00220258"/>
    <w:rsid w:val="00222C42"/>
    <w:rsid w:val="002329C9"/>
    <w:rsid w:val="00235DB3"/>
    <w:rsid w:val="002366D8"/>
    <w:rsid w:val="00236708"/>
    <w:rsid w:val="002464F1"/>
    <w:rsid w:val="002475E8"/>
    <w:rsid w:val="00250D6D"/>
    <w:rsid w:val="00250E68"/>
    <w:rsid w:val="00255ACD"/>
    <w:rsid w:val="00263DBA"/>
    <w:rsid w:val="00272D86"/>
    <w:rsid w:val="00274388"/>
    <w:rsid w:val="00283573"/>
    <w:rsid w:val="00287264"/>
    <w:rsid w:val="002904BD"/>
    <w:rsid w:val="00294B43"/>
    <w:rsid w:val="002A3A3D"/>
    <w:rsid w:val="002B7851"/>
    <w:rsid w:val="002C6765"/>
    <w:rsid w:val="002D2F98"/>
    <w:rsid w:val="002E1D31"/>
    <w:rsid w:val="002E40EF"/>
    <w:rsid w:val="002F4D8E"/>
    <w:rsid w:val="002F56ED"/>
    <w:rsid w:val="00320084"/>
    <w:rsid w:val="00320FA5"/>
    <w:rsid w:val="0032279C"/>
    <w:rsid w:val="003245F3"/>
    <w:rsid w:val="003246BE"/>
    <w:rsid w:val="0033387A"/>
    <w:rsid w:val="00333E0A"/>
    <w:rsid w:val="00334D62"/>
    <w:rsid w:val="0033545F"/>
    <w:rsid w:val="00344F40"/>
    <w:rsid w:val="00345462"/>
    <w:rsid w:val="0034692E"/>
    <w:rsid w:val="003559C8"/>
    <w:rsid w:val="00363F15"/>
    <w:rsid w:val="0036785E"/>
    <w:rsid w:val="00390962"/>
    <w:rsid w:val="003A2A41"/>
    <w:rsid w:val="003A4BE4"/>
    <w:rsid w:val="003B762C"/>
    <w:rsid w:val="003C4EB3"/>
    <w:rsid w:val="003C4F39"/>
    <w:rsid w:val="003C74B6"/>
    <w:rsid w:val="003D72F3"/>
    <w:rsid w:val="003F35C0"/>
    <w:rsid w:val="00401460"/>
    <w:rsid w:val="004035B5"/>
    <w:rsid w:val="00413ECB"/>
    <w:rsid w:val="00414770"/>
    <w:rsid w:val="00414B92"/>
    <w:rsid w:val="00426978"/>
    <w:rsid w:val="0042710E"/>
    <w:rsid w:val="00431C29"/>
    <w:rsid w:val="00433885"/>
    <w:rsid w:val="00452F5D"/>
    <w:rsid w:val="00462279"/>
    <w:rsid w:val="00463E79"/>
    <w:rsid w:val="00465575"/>
    <w:rsid w:val="00465E76"/>
    <w:rsid w:val="004734C8"/>
    <w:rsid w:val="0047393E"/>
    <w:rsid w:val="00481985"/>
    <w:rsid w:val="00495896"/>
    <w:rsid w:val="004A25BF"/>
    <w:rsid w:val="004B0ED8"/>
    <w:rsid w:val="004B575E"/>
    <w:rsid w:val="004B6944"/>
    <w:rsid w:val="004C2E20"/>
    <w:rsid w:val="004D02D3"/>
    <w:rsid w:val="004D6F23"/>
    <w:rsid w:val="004E1080"/>
    <w:rsid w:val="004E4D16"/>
    <w:rsid w:val="004F3A8B"/>
    <w:rsid w:val="00504095"/>
    <w:rsid w:val="00505D0B"/>
    <w:rsid w:val="00506BD3"/>
    <w:rsid w:val="0051018A"/>
    <w:rsid w:val="005119D8"/>
    <w:rsid w:val="00520DC9"/>
    <w:rsid w:val="00523C89"/>
    <w:rsid w:val="00543834"/>
    <w:rsid w:val="00544544"/>
    <w:rsid w:val="00545D68"/>
    <w:rsid w:val="00552485"/>
    <w:rsid w:val="005574C3"/>
    <w:rsid w:val="0055786B"/>
    <w:rsid w:val="0056009B"/>
    <w:rsid w:val="00560648"/>
    <w:rsid w:val="00567304"/>
    <w:rsid w:val="0057070A"/>
    <w:rsid w:val="005724C4"/>
    <w:rsid w:val="00581102"/>
    <w:rsid w:val="00586C8B"/>
    <w:rsid w:val="005879A2"/>
    <w:rsid w:val="00592317"/>
    <w:rsid w:val="0059451A"/>
    <w:rsid w:val="00597926"/>
    <w:rsid w:val="005A004E"/>
    <w:rsid w:val="005A1921"/>
    <w:rsid w:val="005A2F0A"/>
    <w:rsid w:val="005A3572"/>
    <w:rsid w:val="005A705C"/>
    <w:rsid w:val="005B070D"/>
    <w:rsid w:val="005B216E"/>
    <w:rsid w:val="005B40F0"/>
    <w:rsid w:val="005B54F9"/>
    <w:rsid w:val="005B72FC"/>
    <w:rsid w:val="005C75EC"/>
    <w:rsid w:val="005C788C"/>
    <w:rsid w:val="005E36EA"/>
    <w:rsid w:val="006035E1"/>
    <w:rsid w:val="0060433A"/>
    <w:rsid w:val="00607A5C"/>
    <w:rsid w:val="0061375C"/>
    <w:rsid w:val="00620A67"/>
    <w:rsid w:val="00625D5D"/>
    <w:rsid w:val="006316F0"/>
    <w:rsid w:val="006354D2"/>
    <w:rsid w:val="006405AA"/>
    <w:rsid w:val="00644236"/>
    <w:rsid w:val="00644F97"/>
    <w:rsid w:val="00677BD0"/>
    <w:rsid w:val="006814BF"/>
    <w:rsid w:val="00687727"/>
    <w:rsid w:val="006879FB"/>
    <w:rsid w:val="00687F95"/>
    <w:rsid w:val="00693A43"/>
    <w:rsid w:val="006A4D50"/>
    <w:rsid w:val="006A64C8"/>
    <w:rsid w:val="006A7E24"/>
    <w:rsid w:val="006B4B20"/>
    <w:rsid w:val="006B6CD3"/>
    <w:rsid w:val="006C27A9"/>
    <w:rsid w:val="006C3AD3"/>
    <w:rsid w:val="006D186F"/>
    <w:rsid w:val="006D1FCD"/>
    <w:rsid w:val="006D5132"/>
    <w:rsid w:val="006E0FBD"/>
    <w:rsid w:val="006E1405"/>
    <w:rsid w:val="006E5780"/>
    <w:rsid w:val="00700374"/>
    <w:rsid w:val="0070149A"/>
    <w:rsid w:val="0070435C"/>
    <w:rsid w:val="007072C5"/>
    <w:rsid w:val="00710188"/>
    <w:rsid w:val="00733F7C"/>
    <w:rsid w:val="00740407"/>
    <w:rsid w:val="00743836"/>
    <w:rsid w:val="007550B9"/>
    <w:rsid w:val="007565D1"/>
    <w:rsid w:val="00761D26"/>
    <w:rsid w:val="007669CA"/>
    <w:rsid w:val="00771561"/>
    <w:rsid w:val="00773863"/>
    <w:rsid w:val="00776E88"/>
    <w:rsid w:val="00780075"/>
    <w:rsid w:val="00781BD7"/>
    <w:rsid w:val="00783256"/>
    <w:rsid w:val="0078532D"/>
    <w:rsid w:val="00790F74"/>
    <w:rsid w:val="007A13A1"/>
    <w:rsid w:val="007A16E1"/>
    <w:rsid w:val="007A2E6F"/>
    <w:rsid w:val="007A5420"/>
    <w:rsid w:val="007A6B9E"/>
    <w:rsid w:val="007A7F5E"/>
    <w:rsid w:val="007B104A"/>
    <w:rsid w:val="007B5BD7"/>
    <w:rsid w:val="007C094E"/>
    <w:rsid w:val="007C0E4C"/>
    <w:rsid w:val="007C4ECC"/>
    <w:rsid w:val="007C6B97"/>
    <w:rsid w:val="007C7D06"/>
    <w:rsid w:val="007D03E2"/>
    <w:rsid w:val="007E2BAB"/>
    <w:rsid w:val="007E3993"/>
    <w:rsid w:val="007E77D5"/>
    <w:rsid w:val="007F4ECE"/>
    <w:rsid w:val="007F6DDA"/>
    <w:rsid w:val="00802B69"/>
    <w:rsid w:val="00807D24"/>
    <w:rsid w:val="0081623D"/>
    <w:rsid w:val="0081633C"/>
    <w:rsid w:val="008210F3"/>
    <w:rsid w:val="00821D7E"/>
    <w:rsid w:val="008220D0"/>
    <w:rsid w:val="0082257D"/>
    <w:rsid w:val="00824453"/>
    <w:rsid w:val="00826E31"/>
    <w:rsid w:val="008310C2"/>
    <w:rsid w:val="00841530"/>
    <w:rsid w:val="008427D0"/>
    <w:rsid w:val="008443C5"/>
    <w:rsid w:val="00845A82"/>
    <w:rsid w:val="00850C11"/>
    <w:rsid w:val="0085689D"/>
    <w:rsid w:val="0088295B"/>
    <w:rsid w:val="008849F6"/>
    <w:rsid w:val="008868B8"/>
    <w:rsid w:val="00886EC9"/>
    <w:rsid w:val="00887BE2"/>
    <w:rsid w:val="0089300E"/>
    <w:rsid w:val="008A000D"/>
    <w:rsid w:val="008A2CEF"/>
    <w:rsid w:val="008B7442"/>
    <w:rsid w:val="008C12B4"/>
    <w:rsid w:val="008D470D"/>
    <w:rsid w:val="008E317E"/>
    <w:rsid w:val="008E4F7C"/>
    <w:rsid w:val="00905D57"/>
    <w:rsid w:val="0091255B"/>
    <w:rsid w:val="00921FAB"/>
    <w:rsid w:val="00925AF3"/>
    <w:rsid w:val="009265FF"/>
    <w:rsid w:val="00935657"/>
    <w:rsid w:val="0095191B"/>
    <w:rsid w:val="00963FD4"/>
    <w:rsid w:val="0096615C"/>
    <w:rsid w:val="00976E76"/>
    <w:rsid w:val="00977648"/>
    <w:rsid w:val="00981274"/>
    <w:rsid w:val="009815D2"/>
    <w:rsid w:val="009958DD"/>
    <w:rsid w:val="009B229A"/>
    <w:rsid w:val="009B609C"/>
    <w:rsid w:val="009B7ECB"/>
    <w:rsid w:val="009C6338"/>
    <w:rsid w:val="009D57F7"/>
    <w:rsid w:val="009E20DB"/>
    <w:rsid w:val="009E5036"/>
    <w:rsid w:val="009E62FE"/>
    <w:rsid w:val="009F12CE"/>
    <w:rsid w:val="00A034F1"/>
    <w:rsid w:val="00A1054E"/>
    <w:rsid w:val="00A32E29"/>
    <w:rsid w:val="00A353A7"/>
    <w:rsid w:val="00A41326"/>
    <w:rsid w:val="00A41DAF"/>
    <w:rsid w:val="00A6098D"/>
    <w:rsid w:val="00A60DDB"/>
    <w:rsid w:val="00A7434D"/>
    <w:rsid w:val="00A759CB"/>
    <w:rsid w:val="00A7632A"/>
    <w:rsid w:val="00A814DF"/>
    <w:rsid w:val="00A900D8"/>
    <w:rsid w:val="00AA0EA3"/>
    <w:rsid w:val="00AA1676"/>
    <w:rsid w:val="00AA5625"/>
    <w:rsid w:val="00AB71BB"/>
    <w:rsid w:val="00AB795A"/>
    <w:rsid w:val="00AD412F"/>
    <w:rsid w:val="00AE60D0"/>
    <w:rsid w:val="00AE61C2"/>
    <w:rsid w:val="00AF221C"/>
    <w:rsid w:val="00AF30E6"/>
    <w:rsid w:val="00AF3890"/>
    <w:rsid w:val="00AF4CC5"/>
    <w:rsid w:val="00AF6079"/>
    <w:rsid w:val="00AF6C86"/>
    <w:rsid w:val="00AF6E9D"/>
    <w:rsid w:val="00B029C9"/>
    <w:rsid w:val="00B05232"/>
    <w:rsid w:val="00B11373"/>
    <w:rsid w:val="00B1299B"/>
    <w:rsid w:val="00B135F9"/>
    <w:rsid w:val="00B13B68"/>
    <w:rsid w:val="00B2125E"/>
    <w:rsid w:val="00B31B33"/>
    <w:rsid w:val="00B46294"/>
    <w:rsid w:val="00B53CC9"/>
    <w:rsid w:val="00B600D0"/>
    <w:rsid w:val="00B60EF9"/>
    <w:rsid w:val="00B66641"/>
    <w:rsid w:val="00B729E2"/>
    <w:rsid w:val="00B77F42"/>
    <w:rsid w:val="00BA1D3D"/>
    <w:rsid w:val="00BA39BA"/>
    <w:rsid w:val="00BB36C6"/>
    <w:rsid w:val="00BB6DFB"/>
    <w:rsid w:val="00BC1C07"/>
    <w:rsid w:val="00BD0825"/>
    <w:rsid w:val="00BE51CD"/>
    <w:rsid w:val="00BE78B4"/>
    <w:rsid w:val="00BF6556"/>
    <w:rsid w:val="00C01D62"/>
    <w:rsid w:val="00C06135"/>
    <w:rsid w:val="00C0673D"/>
    <w:rsid w:val="00C14F3D"/>
    <w:rsid w:val="00C22C4C"/>
    <w:rsid w:val="00C259D9"/>
    <w:rsid w:val="00C270CC"/>
    <w:rsid w:val="00C30974"/>
    <w:rsid w:val="00C350B1"/>
    <w:rsid w:val="00C46434"/>
    <w:rsid w:val="00C479B2"/>
    <w:rsid w:val="00C54B6D"/>
    <w:rsid w:val="00C57BD7"/>
    <w:rsid w:val="00C6719A"/>
    <w:rsid w:val="00C710D9"/>
    <w:rsid w:val="00C72BB9"/>
    <w:rsid w:val="00C748C1"/>
    <w:rsid w:val="00C75F22"/>
    <w:rsid w:val="00C81341"/>
    <w:rsid w:val="00C83F5D"/>
    <w:rsid w:val="00C87448"/>
    <w:rsid w:val="00C9602A"/>
    <w:rsid w:val="00CA6419"/>
    <w:rsid w:val="00CB1011"/>
    <w:rsid w:val="00CC093F"/>
    <w:rsid w:val="00CC469A"/>
    <w:rsid w:val="00CD0C6D"/>
    <w:rsid w:val="00CD4B92"/>
    <w:rsid w:val="00D03D5D"/>
    <w:rsid w:val="00D05FFD"/>
    <w:rsid w:val="00D10FAB"/>
    <w:rsid w:val="00D131C2"/>
    <w:rsid w:val="00D13C68"/>
    <w:rsid w:val="00D13C8F"/>
    <w:rsid w:val="00D13CCC"/>
    <w:rsid w:val="00D22300"/>
    <w:rsid w:val="00D2324D"/>
    <w:rsid w:val="00D350B5"/>
    <w:rsid w:val="00D356E8"/>
    <w:rsid w:val="00D4095D"/>
    <w:rsid w:val="00D40FFF"/>
    <w:rsid w:val="00D5605E"/>
    <w:rsid w:val="00D6052B"/>
    <w:rsid w:val="00D64DC0"/>
    <w:rsid w:val="00D73683"/>
    <w:rsid w:val="00D73EAE"/>
    <w:rsid w:val="00D769D6"/>
    <w:rsid w:val="00D83C1F"/>
    <w:rsid w:val="00D858DB"/>
    <w:rsid w:val="00D92533"/>
    <w:rsid w:val="00D95DF7"/>
    <w:rsid w:val="00D96A68"/>
    <w:rsid w:val="00DA0225"/>
    <w:rsid w:val="00DA192D"/>
    <w:rsid w:val="00DB3E3D"/>
    <w:rsid w:val="00DD6758"/>
    <w:rsid w:val="00DF19BC"/>
    <w:rsid w:val="00DF3122"/>
    <w:rsid w:val="00DF54B0"/>
    <w:rsid w:val="00DF5753"/>
    <w:rsid w:val="00E03942"/>
    <w:rsid w:val="00E12974"/>
    <w:rsid w:val="00E2117C"/>
    <w:rsid w:val="00E255F2"/>
    <w:rsid w:val="00E347CB"/>
    <w:rsid w:val="00E4264B"/>
    <w:rsid w:val="00E43395"/>
    <w:rsid w:val="00E5101D"/>
    <w:rsid w:val="00E511D4"/>
    <w:rsid w:val="00E51CAA"/>
    <w:rsid w:val="00E528FC"/>
    <w:rsid w:val="00E53356"/>
    <w:rsid w:val="00E63FD7"/>
    <w:rsid w:val="00E66776"/>
    <w:rsid w:val="00E70987"/>
    <w:rsid w:val="00E756EC"/>
    <w:rsid w:val="00E83992"/>
    <w:rsid w:val="00E86C01"/>
    <w:rsid w:val="00E94AD8"/>
    <w:rsid w:val="00E96F99"/>
    <w:rsid w:val="00EA1A76"/>
    <w:rsid w:val="00EA20BD"/>
    <w:rsid w:val="00EA6AB0"/>
    <w:rsid w:val="00EB057D"/>
    <w:rsid w:val="00EC3173"/>
    <w:rsid w:val="00EC43A3"/>
    <w:rsid w:val="00EC5346"/>
    <w:rsid w:val="00EE0118"/>
    <w:rsid w:val="00EE42E9"/>
    <w:rsid w:val="00EF3F17"/>
    <w:rsid w:val="00F025E9"/>
    <w:rsid w:val="00F045BA"/>
    <w:rsid w:val="00F12977"/>
    <w:rsid w:val="00F14908"/>
    <w:rsid w:val="00F15FA4"/>
    <w:rsid w:val="00F253F2"/>
    <w:rsid w:val="00F4759F"/>
    <w:rsid w:val="00F55693"/>
    <w:rsid w:val="00F653EC"/>
    <w:rsid w:val="00F73C6A"/>
    <w:rsid w:val="00F831F6"/>
    <w:rsid w:val="00F9061E"/>
    <w:rsid w:val="00F9584B"/>
    <w:rsid w:val="00FA5B72"/>
    <w:rsid w:val="00FA6172"/>
    <w:rsid w:val="00FB2A41"/>
    <w:rsid w:val="00FC0CA7"/>
    <w:rsid w:val="00FC6597"/>
    <w:rsid w:val="00FD1483"/>
    <w:rsid w:val="00FD2968"/>
    <w:rsid w:val="00FD395D"/>
    <w:rsid w:val="00FD4440"/>
    <w:rsid w:val="00FE3A01"/>
    <w:rsid w:val="00FF3B22"/>
    <w:rsid w:val="00FF6794"/>
    <w:rsid w:val="01114720"/>
    <w:rsid w:val="012408CD"/>
    <w:rsid w:val="04EE10D4"/>
    <w:rsid w:val="05EE5E7C"/>
    <w:rsid w:val="069E344E"/>
    <w:rsid w:val="06EA01CB"/>
    <w:rsid w:val="08CE5EB5"/>
    <w:rsid w:val="095A461E"/>
    <w:rsid w:val="0BAC2977"/>
    <w:rsid w:val="0C3D5924"/>
    <w:rsid w:val="0D8A3445"/>
    <w:rsid w:val="0D915E6F"/>
    <w:rsid w:val="11366821"/>
    <w:rsid w:val="11BB2B62"/>
    <w:rsid w:val="11C66C22"/>
    <w:rsid w:val="129A753F"/>
    <w:rsid w:val="13C331E4"/>
    <w:rsid w:val="13D42198"/>
    <w:rsid w:val="145716EB"/>
    <w:rsid w:val="14E32355"/>
    <w:rsid w:val="157D7EED"/>
    <w:rsid w:val="15903AAB"/>
    <w:rsid w:val="160B2B6C"/>
    <w:rsid w:val="16897D36"/>
    <w:rsid w:val="18394FBB"/>
    <w:rsid w:val="19106017"/>
    <w:rsid w:val="1B0B464B"/>
    <w:rsid w:val="1B5B7A76"/>
    <w:rsid w:val="1C066138"/>
    <w:rsid w:val="1D703A0C"/>
    <w:rsid w:val="1E472C76"/>
    <w:rsid w:val="1E7B4E01"/>
    <w:rsid w:val="1EA70AB6"/>
    <w:rsid w:val="20366092"/>
    <w:rsid w:val="20AC7A60"/>
    <w:rsid w:val="20EB6AA9"/>
    <w:rsid w:val="234A7D60"/>
    <w:rsid w:val="24EB2708"/>
    <w:rsid w:val="250A4917"/>
    <w:rsid w:val="255740DA"/>
    <w:rsid w:val="266A1901"/>
    <w:rsid w:val="29062FEA"/>
    <w:rsid w:val="2A18028E"/>
    <w:rsid w:val="32E53806"/>
    <w:rsid w:val="35B153B4"/>
    <w:rsid w:val="392C26D2"/>
    <w:rsid w:val="398F63C3"/>
    <w:rsid w:val="3AA87B0F"/>
    <w:rsid w:val="3B2661D3"/>
    <w:rsid w:val="3B760EFD"/>
    <w:rsid w:val="3BAE6E6B"/>
    <w:rsid w:val="3D307E1B"/>
    <w:rsid w:val="3E1A6F1D"/>
    <w:rsid w:val="3F7A2BDB"/>
    <w:rsid w:val="40451C27"/>
    <w:rsid w:val="42656A63"/>
    <w:rsid w:val="426D1D88"/>
    <w:rsid w:val="42EE505D"/>
    <w:rsid w:val="431E5DC7"/>
    <w:rsid w:val="43AB45A8"/>
    <w:rsid w:val="43B3461E"/>
    <w:rsid w:val="451E5E63"/>
    <w:rsid w:val="454C60B5"/>
    <w:rsid w:val="46A60C7B"/>
    <w:rsid w:val="48271C5F"/>
    <w:rsid w:val="48957268"/>
    <w:rsid w:val="48F01FB9"/>
    <w:rsid w:val="4C020640"/>
    <w:rsid w:val="4DFD5415"/>
    <w:rsid w:val="4E4F7AE6"/>
    <w:rsid w:val="4E9667EE"/>
    <w:rsid w:val="500928B4"/>
    <w:rsid w:val="525A06DA"/>
    <w:rsid w:val="526D368A"/>
    <w:rsid w:val="52DE52AC"/>
    <w:rsid w:val="541C5AA1"/>
    <w:rsid w:val="54F53D81"/>
    <w:rsid w:val="566938AB"/>
    <w:rsid w:val="568A0BD6"/>
    <w:rsid w:val="56E35CA0"/>
    <w:rsid w:val="599E4814"/>
    <w:rsid w:val="5DDA7FA2"/>
    <w:rsid w:val="5EC35A52"/>
    <w:rsid w:val="5EE958FF"/>
    <w:rsid w:val="5F426385"/>
    <w:rsid w:val="5FF10603"/>
    <w:rsid w:val="633D5388"/>
    <w:rsid w:val="646E3B6B"/>
    <w:rsid w:val="666B2E94"/>
    <w:rsid w:val="6A726F6A"/>
    <w:rsid w:val="6C5C1036"/>
    <w:rsid w:val="6DBC3CD9"/>
    <w:rsid w:val="6FFE60D8"/>
    <w:rsid w:val="712421C0"/>
    <w:rsid w:val="718621A4"/>
    <w:rsid w:val="71C34165"/>
    <w:rsid w:val="74317BEC"/>
    <w:rsid w:val="748B00D4"/>
    <w:rsid w:val="78066FAA"/>
    <w:rsid w:val="780B0EA0"/>
    <w:rsid w:val="79DB24A1"/>
    <w:rsid w:val="7AE606AF"/>
    <w:rsid w:val="7AEC6E68"/>
    <w:rsid w:val="7FA257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lang w:val="zh-CN" w:bidi="zh-CN"/>
    </w:rPr>
  </w:style>
  <w:style w:type="paragraph" w:styleId="3">
    <w:name w:val="Body Text Indent"/>
    <w:basedOn w:val="1"/>
    <w:link w:val="14"/>
    <w:qFormat/>
    <w:uiPriority w:val="99"/>
    <w:pPr>
      <w:spacing w:line="360" w:lineRule="auto"/>
      <w:ind w:left="630" w:leftChars="200" w:hanging="210" w:hangingChars="100"/>
      <w:outlineLvl w:val="0"/>
    </w:pPr>
    <w:rPr>
      <w:rFonts w:ascii="宋体" w:cs="宋体"/>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style>
  <w:style w:type="character" w:customStyle="1" w:styleId="10">
    <w:name w:val="font21"/>
    <w:basedOn w:val="8"/>
    <w:qFormat/>
    <w:uiPriority w:val="99"/>
    <w:rPr>
      <w:rFonts w:ascii="MS Sans Serif" w:hAnsi="MS Sans Serif" w:eastAsia="Times New Roman" w:cs="MS Sans Serif"/>
      <w:color w:val="000000"/>
      <w:sz w:val="20"/>
      <w:szCs w:val="20"/>
      <w:u w:val="none"/>
    </w:rPr>
  </w:style>
  <w:style w:type="character" w:customStyle="1" w:styleId="11">
    <w:name w:val="font31"/>
    <w:basedOn w:val="8"/>
    <w:qFormat/>
    <w:uiPriority w:val="99"/>
    <w:rPr>
      <w:rFonts w:ascii="宋体" w:hAnsi="宋体" w:eastAsia="宋体" w:cs="宋体"/>
      <w:color w:val="000000"/>
      <w:sz w:val="20"/>
      <w:szCs w:val="20"/>
      <w:u w:val="non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正文文本缩进 Char"/>
    <w:basedOn w:val="8"/>
    <w:link w:val="3"/>
    <w:semiHidden/>
    <w:qFormat/>
    <w:uiPriority w:val="99"/>
    <w:rPr>
      <w:szCs w:val="21"/>
    </w:rPr>
  </w:style>
  <w:style w:type="paragraph" w:customStyle="1" w:styleId="15">
    <w:name w:val="ri1"/>
    <w:basedOn w:val="1"/>
    <w:qFormat/>
    <w:uiPriority w:val="99"/>
    <w:pPr>
      <w:widowControl/>
      <w:pBdr>
        <w:left w:val="single" w:color="E6E6E6" w:sz="6" w:space="5"/>
      </w:pBdr>
      <w:jc w:val="left"/>
    </w:pPr>
    <w:rPr>
      <w:rFonts w:ascii="宋体" w:hAnsi="宋体" w:cs="宋体"/>
      <w:kern w:val="0"/>
      <w:sz w:val="24"/>
      <w:szCs w:val="24"/>
    </w:rPr>
  </w:style>
  <w:style w:type="paragraph" w:customStyle="1" w:styleId="16">
    <w:name w:val="Char Char1 Char Char Char Char Char Char Char Char Char Char Char Char Char Char"/>
    <w:basedOn w:val="1"/>
    <w:qFormat/>
    <w:uiPriority w:val="99"/>
    <w:pPr>
      <w:widowControl/>
      <w:spacing w:after="160" w:line="240" w:lineRule="exact"/>
      <w:jc w:val="left"/>
    </w:pPr>
  </w:style>
  <w:style w:type="paragraph" w:customStyle="1" w:styleId="17">
    <w:name w:val="列出段落1"/>
    <w:basedOn w:val="1"/>
    <w:qFormat/>
    <w:uiPriority w:val="34"/>
    <w:pPr>
      <w:ind w:firstLine="420" w:firstLineChars="200"/>
    </w:p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A1C85-FFDB-4D35-A0E1-BC8EF09624A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517</Words>
  <Characters>2951</Characters>
  <Lines>24</Lines>
  <Paragraphs>6</Paragraphs>
  <TotalTime>396</TotalTime>
  <ScaleCrop>false</ScaleCrop>
  <LinksUpToDate>false</LinksUpToDate>
  <CharactersWithSpaces>3462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2019-11-07T08:39:00Z</dcterms:created>
  <dc:creator>a</dc:creator>
  <cp:lastModifiedBy>yxf76</cp:lastModifiedBy>
  <cp:lastPrinted>2017-07-05T05:40:00Z</cp:lastPrinted>
  <dcterms:modified xsi:type="dcterms:W3CDTF">2021-09-07T13:26:45Z</dcterms:modified>
  <dc:title>定 货 合 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2052-11.1.0.10700</vt:lpwstr>
  </property>
  <property fmtid="{D5CDD505-2E9C-101B-9397-08002B2CF9AE}" pid="4" name="ICV">
    <vt:lpwstr>CE456FD0D0E24B3B9E38F2449F2C3D51</vt:lpwstr>
  </property>
</Properties>
</file>